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tradeoff_merton_wacc</w:t>
      </w:r>
    </w:p>
    <w:p>
      <w:r>
        <w:t xml:space="preserve"> </w:t>
      </w:r>
    </w:p>
    <w:p>
      <w:pPr>
        <w:pStyle w:val="Heading2"/>
      </w:pPr>
      <w:r>
        <w:t>Title</w:t>
      </w:r>
    </w:p>
    <w:p>
      <w:r>
        <w:t>Integrating cost-of-leverage and Merton structural pricing to compute optimal bank capital and regulatory requirements via WACC minimization</w:t>
      </w:r>
    </w:p>
    <w:p>
      <w:r>
        <w:t xml:space="preserve"> </w:t>
      </w:r>
    </w:p>
    <w:p>
      <w:pPr>
        <w:pStyle w:val="Heading2"/>
      </w:pPr>
      <w:r>
        <w:t>Short Hypothesis</w:t>
      </w:r>
    </w:p>
    <w:p>
      <w:r>
        <w:t>Conditional on asset volatility and liquidity, increasing a bank's equity-to-assets ratio (reducing leverage) lowers its weighted average cost of capital (WACC) until a single interior optimal leverage L* is reached, beyond which further equity increases raise WACC.</w:t>
      </w:r>
    </w:p>
    <w:p>
      <w:r>
        <w:t xml:space="preserve"> </w:t>
      </w:r>
    </w:p>
    <w:p>
      <w:pPr>
        <w:pStyle w:val="Heading2"/>
      </w:pPr>
      <w:r>
        <w:t>Related Work</w:t>
      </w:r>
    </w:p>
    <w:p>
      <w:r>
        <w:t>Existing approaches split into two strands: (1) trade-off corporate finance models that balance debt tax shields against expected distress costs but typically treat liquidity premia and bailout probabilities loosely; and (2) structural credit (Merton-type) models that map assets to default probability and credit spreads but often ignore liquidity-driven funding costs, multi-tranche liabilities, and regulatory mappings. Prior integrations include applying option-pricing to bank equity valuation or adjusting Fernandez-style cost-of-leverage for leverage effects, but they commonly suffer from (a) incomplete mapping from risk-neutral option objects to physical equity returns, (b) limited treatment of liquidity premia and deposit-run probabilities, (c) approximations for multi-tranche debt that produce inversion errors, and (d) weak robustness checks under non-GBM asset dynamics (jumps, barriers, stochastic volatility). These limitations impede deriving regulatory capital rules with credible confidence intervals and policy counterfactuals.</w:t>
      </w:r>
    </w:p>
    <w:p>
      <w:r>
        <w:t xml:space="preserve"> </w:t>
      </w:r>
    </w:p>
    <w:p>
      <w:pPr>
        <w:pStyle w:val="Heading2"/>
      </w:pPr>
      <w:r>
        <w:t>Abstract</w:t>
      </w:r>
    </w:p>
    <w:p>
      <w:r>
        <w:t>Banks choose leverage by trading tax-shield benefits against the costs of distress and funding illiquidity. This research develops an integrated structural framework that nests Fernandez cost-of-leverage and Merton-style asset pricing inside a weighted average cost of capital (WACC) objective to derive optimal bank capital and regulatory minima. The model treats equity as an option on assets, models debt yields via bond pricing, and adds a liquidity premium that depends on deposit-run probability, maturity mix, and market liquidity. Bailouts and resolution are mapped with a calibrated logistic probability that adjusts effective yields and recoveries. The main contribution is a practical pipeline: (i) compute Re(L), Rd(L), PD(L) and λ(L) using structural inversion and multi-tranche aggregation; (ii) numerically solve the WACC first-order condition for L* and regulatory κ; and (iii) produce calibrated policy tables with uncertainty and stress scenarios. Expected output is a transparent, testable method that yields bank- and country-specific capital recommendations with quantified sensitivity to model choices.</w:t>
      </w:r>
    </w:p>
    <w:p>
      <w:r>
        <w:t xml:space="preserve"> </w:t>
      </w:r>
    </w:p>
    <w:p>
      <w:pPr>
        <w:pStyle w:val="Heading2"/>
      </w:pPr>
      <w:r>
        <w:t>Methodology</w:t>
      </w:r>
    </w:p>
    <w:p>
      <w:r>
        <w:t>1) Model setup: define leverage L = D/A where A is bank assets and D an effective aggregate claim (D_eff). WACC(L) = (1−L)Re(L) + L·Rd(L)·(1−τ) + λ(L). Explain terms: WACC is the bank's average cost of funding; Re is expected equity return; Rd is debt yield; τ is corporate tax rate; λ is a liquidity premium (an extra funding cost). 2) Structural mapping: use the Merton framework where equity = call option on assets. That gives PD(L) = Pr[A_T &lt; D_eff] and equity value E=A·Φ(·)−D_eff·e^(−rT)·Φ(·) (Black–Scholes style). If options or CDS are liquid, invert market equity and option data to recover implied asset level A and asset volatility σ_A. Explain: Merton model treats default as assets falling below debt at maturity. 3) Multi-tranche aggregation: construct D_eff = Σ_j ω_j·face_j·(1−haircut_j) where weights ω_j account for timing and priority. 4) Liquidity premium λ(L,φ,MTM,LIQ): functional form λ = θ0 + θ1·PD_run(L,φ) + θ2·L^α + θ3·(1/MTM) + θ4·LIQ. Explain: PD_run is probability of deposit-run barrier (computed by barrier-hitting formulas); MTM is average debt maturity; LIQ is a market liquidity index. 5) Bailout mapping: model bailout probability pb(z,S) = 1/(1+exp[−(β0+β1·z+β2·S)]) where z measures distance-to-default and S is systemic stress; incorporate pb into effective Rd and PD via subsidies and higher recoveries. 6) Numerical solution: compute derivatives Re′, Rd′, λ′ via analytic Greeks where possible and automatic differentiation otherwise; solve dWACC/dL = 0 by nested search (inner root for L at fixed maturity mix; outer optimizer for maturity mix). 7) Calibration: estimate θ, β and other parameters by SMM/GMM matching moments of equity, bond and CDS spreads, and deposit outflows; use bootstraps and MCMC to produce posterior uncertainty. 8) Diagnostics: inversion diagnostics (Jacobian condition number, CI width, R̂, ESS), Monte Carlo recovery for non-GBM models (jump, barrier, stochastic volatility). 9) Deliverables: policy tables κ* with CI, stress scenarios, and reproducible notebooks. Technical terms explained: automatic differentiation (AD) computes derivatives numerically but more accurately than simple finite differences; barrier-hitting probability is the chance a stochastic asset path crosses a threshold before maturity.</w:t>
      </w:r>
    </w:p>
    <w:p>
      <w:r>
        <w:t xml:space="preserve"> </w:t>
      </w:r>
    </w:p>
    <w:p>
      <w:pPr>
        <w:pStyle w:val="Heading2"/>
      </w:pPr>
      <w:r>
        <w:t>Experiments</w:t>
      </w:r>
    </w:p>
    <w:p>
      <w:r>
        <w:t>Datasets: bank call reports (assets, liabilities, deposit shares, supervisory capital), market equity prices and option surfaces, traded bond yields and CDS spreads, repo haircuts and high-frequency deposit flow data, TLAC/seniority metadata, and country-level tax and resolution regime indicators. Public fallbacks: listed bank option snapshots (where available), sovereign bond yields, and high-frequency market liquidity indices (VIX, TED). Baselines: (A) Fernandez cost-of-leverage only (no liquidity premium), (B) Merton structural mapping with single-claim D but no λ or bailout, (C) reduced-form spread decomposition (bond−treasury regressions). Procedure: 1) For each bank-date, invert observed equity (and options when liquid) to obtain posterior draws of A and σ_A using Bayesian Merton inversion with priors; compute PD(L), Rd(L), Re(L) and λ(L). 2) Calibrate θ and β by SMM/GMM to match observed bond spreads, CDS spreads and deposit outflow moments. 3) Solve for L* by root-finding on dWACC/dL and derive κ* = 1−L*. 4) Generate bootstrap and MCMC confidence intervals for κ*. Holdouts and validation: reserve crisis windows (2007–09, 2011, 2020) for out-of-sample tests. Evaluation metrics: RMSE of fitted vs observed spreads, AUC for PD calibration, coverage of realized defaults by PD CIs, stability of κ* across priors (sensitivity heatmaps), and policy impact metrics: changes in bank lending volume and lending rates under counterfactual κ increases. Ablation studies: remove liquidity premium λ to measure its impact on L*; remove bailout subsidy (set pb=0) to isolate moral-hazard effects; compare multi-tranche D_eff vs full tranche simulator to measure inversion error in κ*. Monte Carlo recovery: simulate panels under GBM, jump-diffusion, Black–Cox and Heston; report recovery rates for A and σ_A under realistic missingness and illiquid option conditions.</w:t>
      </w:r>
    </w:p>
    <w:p>
      <w:r>
        <w:t xml:space="preserve"> </w:t>
      </w:r>
    </w:p>
    <w:p>
      <w:pPr>
        <w:pStyle w:val="Heading2"/>
      </w:pPr>
      <w:r>
        <w:t>Risk Factors And Limitations</w:t>
      </w:r>
    </w:p>
    <w:p>
      <w:r>
        <w:t>1) Identification of Re: mapping from risk-neutral σ_A and option Greeks to the physical expected return Re is model-dependent and may introduce large sensitivity in L*. 2) Inversion non-uniqueness: recovering A and σ_A from equity and sparse option or bond data can be ill-posed, especially for banks with thin option markets or complex tranches. 3) Model misspecification: real assets may follow jumps, barriers or stochastic volatility; structural errors will bias PD, Rd and L*. 4) Data gaps and measurement error: illiquid options, missing tranche detail, and noisy deposit flow data reduce estimation precision. 5) Bailout endogeneity: bailout probability pb is politically driven and may be endogenous to unobserved state variables, violating IV assumptions. 6) Computational cost: Monte Carlo/PDE for barrier/jump models and nested optimizations are compute-intensive at panel scale. 7) Generalization limits: calibrated κ* may not transfer across countries with different legal and resolution regimes. 8) Threshold decisions: acceptance thresholds (condition numbers, CI widths, D_eff error tolerances) may be arbitrary and affect when supervisory priors override data-driven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