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sustained_sat_revenue_sweden</w:t>
      </w:r>
    </w:p>
    <w:p>
      <w:r>
        <w:t xml:space="preserve"> </w:t>
      </w:r>
    </w:p>
    <w:p>
      <w:pPr>
        <w:pStyle w:val="Heading2"/>
      </w:pPr>
      <w:r>
        <w:t>Title</w:t>
      </w:r>
    </w:p>
    <w:p>
      <w:r>
        <w:t>Customer fixed‑effects event‑study estimating the sustained effect of baseline customer satisfaction on individual bank revenue</w:t>
      </w:r>
    </w:p>
    <w:p>
      <w:r>
        <w:t xml:space="preserve"> </w:t>
      </w:r>
    </w:p>
    <w:p>
      <w:pPr>
        <w:pStyle w:val="Heading2"/>
      </w:pPr>
      <w:r>
        <w:t>Short Hypothesis</w:t>
      </w:r>
    </w:p>
    <w:p>
      <w:r>
        <w:t>A higher baseline latent customer satisfaction score causes a sustained positive change in an individual customer's annual net revenue that persists across a 1–4 year horizon.</w:t>
      </w:r>
    </w:p>
    <w:p>
      <w:r>
        <w:t xml:space="preserve"> </w:t>
      </w:r>
    </w:p>
    <w:p>
      <w:pPr>
        <w:pStyle w:val="Heading2"/>
      </w:pPr>
      <w:r>
        <w:t>Related Work</w:t>
      </w:r>
    </w:p>
    <w:p>
      <w:r>
        <w:t>Prior studies document correlations between customer satisfaction and firm revenue and some find short‑term revenue uplifts. Existing approaches often use cross‑sectional or aggregate panel data, simple OLS with limited controls, or short follow‑up windows. Limitations include weak causal identification (few use individual fixed effects or event‑study designs), poor treatment measurement (relying on raw scores without correcting measurement error), short or heterogeneous horizons, little propagation of psychometric uncertainty into revenue effects, and sparse attention to nonlinear/dose–response shapes across satisfaction tiers. Many applied ML heterogeneity methods estimate conditional treatment effects but do not integrate latent‑score uncertainty and can overfit without honest splitting. Instrumental variable strategies are rarely fully pre‑specified and often lack validity checks. This leaves open whether satisfaction effects are causal, sustained, nonlinear across tiers, and robust to measurement and attrition.</w:t>
      </w:r>
    </w:p>
    <w:p>
      <w:r>
        <w:t xml:space="preserve"> </w:t>
      </w:r>
    </w:p>
    <w:p>
      <w:pPr>
        <w:pStyle w:val="Heading2"/>
      </w:pPr>
      <w:r>
        <w:t>Abstract</w:t>
      </w:r>
    </w:p>
    <w:p>
      <w:r>
        <w:t>This study estimates whether higher customer satisfaction causes sustained increases in individual bank revenue over one to four years. We link item‑level satisfaction surveys to objective transaction records for a panel of retail customers and construct a latent satisfaction score using graded‑response IRT with posterior draws to capture measurement uncertainty. The primary identification uses customer fixed effects and time fixed effects in a distributed‑lag/event‑study around each customer's first valid survey, controlling for pre‑specified time‑varying covariates and excluding revenue near the survey to reduce simultaneity. We report pooled parametric estimates with clustered inference and translate percent effects into SEK and discounted NPV per customer. Secondary analyses estimate nonlinear dose–response curves and heterogeneity with causal forests and doubly‑robust learners while propagating latent‑score uncertainty. The main contribution is a reproducible, pre‑specified pipeline that combines psychometric uncertainty, rigorous causal diagnostics, and operational NPV translation to assess whether satisfaction improvements produce meaningful, sustained revenue gains at the individual level.</w:t>
      </w:r>
    </w:p>
    <w:p>
      <w:r>
        <w:t xml:space="preserve"> </w:t>
      </w:r>
    </w:p>
    <w:p>
      <w:pPr>
        <w:pStyle w:val="Heading2"/>
      </w:pPr>
      <w:r>
        <w:t>Methodology</w:t>
      </w:r>
    </w:p>
    <w:p>
      <w:r>
        <w:t>Data preparation: link survey item responses and paradata to monthly transaction ledgers and product holdings for each customer using privacy‑preserving pseudonyms. Define the first valid survey per customer as earliest survey with &gt;=90% item completeness, outside excluded outage windows, and with &gt;=12 months pre‑survey transaction history. Measurement: fit a graded‑response IRT (an ordinal IRT model for survey items) to estimate a latent satisfaction score; output the posterior mean and 50 posterior draws per respondent to capture measurement uncertainty. Main estimator: run a distributed‑lag/event‑study regression of log(1+annual_revenue) on satisfaction leads and lags with customer fixed effects (absorbing time‑invariant heterogeneity) and calendar time fixed effects (absorbing aggregate shocks). Include pre‑specified time‑varying controls measured at survey time or earlier: prior year revenue, product holdings and recent openings, number of products, balances, recent marketing contacts, complaint flags, tenure, life‑event indicators, and local unemployment. Exclude revenue within +/-3 months of the survey. Identification checks: estimate lead coefficients to test pre‑trends; compute Oster δ and Altonji ratios to bound bias from unobserved confounders. Measurement‑error propagation: run the full FE/event‑study on each of the 50 IRT draws and pool parametric coefficients using Rubin's rules (combine within‑ and between‑draw variance). For ML heterogeneity: train honest causal forests and DR‑learners using time‑blocked cross‑validation and honest sample splitting; for CATE uncertainty average predictions across draws and compute bootstrap intervals combining within‑ and between‑draw variance. Inference: cluster standard errors at the customer; report branch‑clustered results and use wild cluster bootstrap if branch count is small. Monetary conversion: convert log effects to percent changes and to SEK using sample mean revenue; compute discounted NPV over 4 years at 8% real.</w:t>
      </w:r>
    </w:p>
    <w:p>
      <w:r>
        <w:t xml:space="preserve"> </w:t>
      </w:r>
    </w:p>
    <w:p>
      <w:pPr>
        <w:pStyle w:val="Heading2"/>
      </w:pPr>
      <w:r>
        <w:t>Experiments</w:t>
      </w:r>
    </w:p>
    <w:p>
      <w:r>
        <w:t>Dataset: linked survey and transaction panel for 19,060 Swedish retail customers, monthly revenue components and product holdings, item‑level survey responses and paradata. Primary estimation: distributed‑lag/event‑study FE with leads k=-4..-1 and lags k=0..4 on log(1+annual_revenue); controls as pre‑specified; cluster SEs by customer. Baselines: (A) FE/event‑study without measurement correction, (B) FE with measurement correction (50 IRT draws pooled), (C) FE + lagged dependent variable, (D) IPTW/MSM using response weights, (E) IV FE if instrument available (e.g., randomized survey timing or branch outage indicator). ML baselines: (F) honest causal forest, (G) DR‑learner. Evaluation metrics: estimated beta_k coefficients and 95% CIs, pre‑trend test p‑values, Oster δ, first‑stage F for IV, mean squared error (MSE) of CATE predictions on held‑out folds, coverage of CIs for pooled estimates, SEK/year and 4‑year discounted NPV per customer, and MDEs for overall and subgroup effects. Experimental setup: exclude revenue within +/-3 months of survey; use first valid survey per customer; run all regressions on each of 50 IRT draws and pool parametric estimates; for ML average CATEs across draws and compute bootstrap CIs that include between‑draw variance. Ablation studies: (1) remove measurement‑error propagation (compare A vs B); (2) outcome scale variants (log(1+rev) vs level vs IHS) to test sensitivity; (3) FE vs FE+lagged DV to assess dynamic bias; (4) pooling method for ML uncertainty: Rubin pooling vs within‑draw bootstrap aggregation. Reporting: provide event‑study plots of leads/lags, dose–response spline plots, tier contrasts (bottom 10%→median), and prioritized targeting lists (median and conservative rules).</w:t>
      </w:r>
    </w:p>
    <w:p>
      <w:r>
        <w:t xml:space="preserve"> </w:t>
      </w:r>
    </w:p>
    <w:p>
      <w:pPr>
        <w:pStyle w:val="Heading2"/>
      </w:pPr>
      <w:r>
        <w:t>Risk Factors And Limitations</w:t>
      </w:r>
    </w:p>
    <w:p>
      <w:r>
        <w:t>Residual time‑varying confounding may bias estimates despite controls and fixed effects. Measurement error in survey items can remain if IRT model is misspecified. Attrition and missing transactional data may be MNAR (missing not at random), affecting NPV and selection. Instruments (survey timing, branch shocks) may be weak or invalid. Sparse branch clusters limit cluster‑robust inference and spillover tests. Subgroup and tier analyses may be underpowered; multiple testing increases false positives. ML methods can overfit without strict honest splitting and are computationally intensive when combined with 50 posterior draws and bootstrapping. Results may not generalize beyond this bank, country, or period. Converting percent effects into SEK and NPV depends on assumed discount rates and conversion probabilities, which introduce economic assumption risk.</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