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intergen_mobility_mothers_latam</w:t>
      </w:r>
    </w:p>
    <w:p>
      <w:r>
        <w:t xml:space="preserve"> </w:t>
      </w:r>
    </w:p>
    <w:p>
      <w:pPr>
        <w:pStyle w:val="Heading2"/>
      </w:pPr>
      <w:r>
        <w:t>Title</w:t>
      </w:r>
    </w:p>
    <w:p>
      <w:r>
        <w:t>Estimating intergenerational mobility in education and income ranks in five Latin American countries using parental education and occupation with measurement-error correction and mother-focused identification</w:t>
      </w:r>
    </w:p>
    <w:p>
      <w:r>
        <w:t xml:space="preserve"> </w:t>
      </w:r>
    </w:p>
    <w:p>
      <w:pPr>
        <w:pStyle w:val="Heading2"/>
      </w:pPr>
      <w:r>
        <w:t>Short Hypothesis</w:t>
      </w:r>
    </w:p>
    <w:p>
      <w:r>
        <w:t>An increase in a mother's cohort-and-gender percentile rank of education and occupation causes a positive increase in her adult child's education and income percentile ranks, conditional on paternal socioeconomic status.</w:t>
      </w:r>
    </w:p>
    <w:p>
      <w:r>
        <w:t xml:space="preserve"> </w:t>
      </w:r>
    </w:p>
    <w:p>
      <w:pPr>
        <w:pStyle w:val="Heading2"/>
      </w:pPr>
      <w:r>
        <w:t>Related Work</w:t>
      </w:r>
    </w:p>
    <w:p>
      <w:r>
        <w:t>Prior work measures intergenerational mobility using parent-child rank regressions (rank-rank slopes) and often uses either parental education or occupation as proxies for family background. Many studies report strong country variation and emphasize maternal influences, but existing approaches have three common limitations. First, reliance on single proxies (education or occupation) ignores multi-dimensional family status and produces attenuation from measurement error. Second, treatment of mothers who report non-market work (homemakers) is inconsistent, creating bias and sample selection. Third, identification efforts using policy shocks or supply changes are heterogeneous across studies and frequently suffer weak first-stage instruments, incomplete exclusion-restriction checks, and limited cross-country comparability of occupational-status indices. Measurement-invariance across cohorts/countries and multicollinearity between maternal and paternal measures are also under-addressed. These gaps limit causal interpretation and cross-country comparison of maternal contributions to intergenerational mobility.</w:t>
      </w:r>
    </w:p>
    <w:p>
      <w:r>
        <w:t xml:space="preserve"> </w:t>
      </w:r>
    </w:p>
    <w:p>
      <w:pPr>
        <w:pStyle w:val="Heading2"/>
      </w:pPr>
      <w:r>
        <w:t>Abstract</w:t>
      </w:r>
    </w:p>
    <w:p>
      <w:r>
        <w:t>This study measures intergenerational mobility in education and income ranks across Brazil, Chile, Ecuador, Mexico, and Panama by combining parental education and occupation as joint family-background proxies and focusing on the role of mothers. We harmonize national microdata and administrative employment records, compute cohort-and-gender-specific percentile ranks for parents and children, and construct multi-indicator family-status measures. To address measurement error and non-market work, we apply SIMEX (a simulation-extrapolation correction) and a confirmatory factor analysis (CFA) latent-SES model, and propagate uncertainty via nested multiple imputation and bootstrap. For causal inference on maternal effects, we pre-specify mother-targeted instruments (cohort×location schooling supply shocks and female-targeted program rollouts), run weak-IV-robust estimators (LIML/Fuller), and implement partial-identification (Conley) bounds and falsification tests. Main contributions: a reproducible cross-country harmonization, joint parental-status estimands with robust measurement-error correction, and a pre-registered IV validity protocol that clarifies when maternal estimates can be interpreted causally. Expected outcome: transparent estimates of maternal vs paternal contributions with uncertainty and country comparability.</w:t>
      </w:r>
    </w:p>
    <w:p>
      <w:r>
        <w:t xml:space="preserve"> </w:t>
      </w:r>
    </w:p>
    <w:p>
      <w:pPr>
        <w:pStyle w:val="Heading2"/>
      </w:pPr>
      <w:r>
        <w:t>Methodology</w:t>
      </w:r>
    </w:p>
    <w:p>
      <w:r>
        <w:t>1) Data harmonization: ingest national household survey microdata and administrative employment records where available. Map local education categories to ISCED and convert to years-of-schooling using cohort×gender means when needed. Map national occupation labels to ISCO codes and compute occupational-status indices (ISEI/SIOPS/HISCAM) where possible. Compute cohort (five-year) × gender-specific percentile ranks (0–1) for education and income for mothers, fathers, and children. 2) Parental definitions: create flags for co-resident parent, retrospective/biological parent, and household-head parent; run parallel analyses. 3) Non-market work: implement three pre-specified treatments: exclude non-market respondents, impute numeric occupational-status (median ISEI by education×age×urban cell), and include non-market indicator within a latent-SES model. 4) Measurement-error correction: estimate reliability ratios using validation subsamples (repeat waves, sibling reports, admin links). Apply SIMEX (simulation-extrapolation) to correct attenuation — SIMEX simulates added measurement error and extrapolates back to zero-error to recover corrected coefficients. Fit a CFA (confirmatory factor analysis) latent-SES model that loads parental education, occupation, and income onto one latent factor (CFA is a statistical model that represents shared variance as an unobserved variable). Combine SIMEX and CFA where appropriate and propagate uncertainty using nested multiple imputation (MICE) and bootstrap. 5) Multicollinearity: present three approaches — joint OLS with both parents, residualize mother on father (orthogonalize) to show unique maternal variation, and ridge/Bayesian shrinkage for stable coefficients. Report Shapley R2 for attribution. 6) Identification: pre-specify mother-targeted instruments (staggered compulsory-school expansions, female-targeted CCT rollouts, maternity/pension reforms), document affected cohorts/geography, and run first-stage diagnostics (first-stage F, partial R2, Kleibergen LM). Use weak-IV-robust estimators (LIML and Fuller) and report Anderson-Rubin/AR statistics. 7) Exclusion-sensitivity: use Conley partial-identification bounds (these allow small violations of exclusion and report ranges), placebo outcomes, balance tests, and overidentification checks when multiple IVs exist. 8) Power and simulations: run Monte Carlo simulations varying sample size, reliability, and first-stage F to produce MDEs (minimum detectable effects) and reporting thresholds. 9) Inference: use survey weights, cluster by PSU, respect strata, use replicate weights if present. All code and crosswalks version-controlled and containerized for reproducibility.</w:t>
      </w:r>
    </w:p>
    <w:p>
      <w:r>
        <w:t xml:space="preserve"> </w:t>
      </w:r>
    </w:p>
    <w:p>
      <w:pPr>
        <w:pStyle w:val="Heading2"/>
      </w:pPr>
      <w:r>
        <w:t>Experiments</w:t>
      </w:r>
    </w:p>
    <w:p>
      <w:r>
        <w:t>Datasets: Brazil PNAD/PNADC/PNADc and RAIS administrative records; equivalent national household surveys for Chile, Ecuador, Mexico, Panama (country microdata providing parental identifiers and occupational/income variables). Baselines: (A) OLS child-rank on father-rank only; (B) OLS child-rank on mother-rank only; (C) OLS child-rank on both parents (raw); (D) family-mean index (simple average of parental ranks); (E) CFA latent-SES as regressor. Causal baselines: IV using pre-specified mother-targeted instruments. Metrics: rank-rank slope coefficients, standard errors, 95% bootstrap confidence intervals, attenuation bias (difference between corrected and uncorrected slopes), first-stage F-statistics, partial R2, Anderson-Rubin p-values, LIML/Fuller estimates, Conley bounds width, and Shapley R2 attribution. Experimental steps: 1) Construct cohort×gender percentile ranks and compute baseline OLS estimates for both education and income outcomes. 2) Apply measurement-error corrections: estimate reliability ratios using validation subsamples; run SIMEX-corrected OLS and CFA-latent regressions; bootstrap across MI draws for CIs. 3) Ablation: compare three non-market treatments (exclude, impute numeric ISEI, include non-market in CFA) and report coefficient differences. 4) Multicollinearity ablation: compare raw OLS, orthogonalized mother, and ridge/Bayesian shrinkage. 5) IV experiments: for each candidate instrument run first-stage checks, compute LIML/Fuller estimates, report AR tests, and compute Conley bounds under small exclusion violations. 6) Falsification: run placebo regressions (pre-birth regional outcomes, sibling outcomes, unrelated regional shocks). 7) Cross-country comparability: test measurement invariance of CFA across countries/cohorts (configural/metric/scalar); if invariance fails report country-specific latent loadings. 8) Power: Monte Carlo grid varying N (1k–50k), reliability (0.6–0.95), and first-stage F (5,10,25,50) to produce MDE tables. Implementation details: use survey-aware estimation (weights, PSU clustering), MICE with 20 imputations, bootstrap 1,000 replications for CIs, SIMEX with error multipliers (lambda grid) and extrapolation, LIML/Fuller implementations for IV; report all code and synthetic-data smoke tests.</w:t>
      </w:r>
    </w:p>
    <w:p>
      <w:r>
        <w:t xml:space="preserve"> </w:t>
      </w:r>
    </w:p>
    <w:p>
      <w:pPr>
        <w:pStyle w:val="Heading2"/>
      </w:pPr>
      <w:r>
        <w:t>Risk Factors And Limitations</w:t>
      </w:r>
    </w:p>
    <w:p>
      <w:r>
        <w:t>1) Measurement error and missing data: parental occupation and education can be misreported or missing, especially for mothers; corrections may not fully remove bias and corrections depend on validation subsample quality. 2) Non-market work comparability: homemaker imputations are model-dependent and may vary by cohort, sex roles, and urban/rural status, limiting comparability. 3) Cross-country occupational comparability: occupational-status indices (ISEI/SIOPS/HISCAM) may not be comparable across countries with high informality or large agricultural sectors. 4) Weak instruments: mother-targeted policy instruments may produce weak first stages (low F) or violate exclusion, yielding wide IV bounds or unreliable LATEs. 5) Multicollinearity: high correlation between maternal and paternal measures makes unique maternal effects sensitive to specification choice. 6) Small sample cells: cohort×gender×region cells may be small, reducing power for subgroup IV or rank analyses. 7) Measurement-invariance failure: CFA latent factors may not hold the same meaning across cohorts/countries, limiting pooled inference. 8) Computational cost: SIMEX+MI+bootstrap is compute-intensive and may require HPC resources. 9) External validity: results reflect cohorts and institutions in these five countries and may not generalize to other settings or later cohorts.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