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ecb_climate_eventstudy</w:t>
      </w:r>
    </w:p>
    <w:p>
      <w:r>
        <w:t xml:space="preserve"> </w:t>
      </w:r>
    </w:p>
    <w:p>
      <w:pPr>
        <w:pStyle w:val="Heading2"/>
      </w:pPr>
      <w:r>
        <w:t>Title</w:t>
      </w:r>
    </w:p>
    <w:p>
      <w:r>
        <w:t>Event-study analysis of ECB climate-related announcements and their effect on European banks' stock returns</w:t>
      </w:r>
    </w:p>
    <w:p>
      <w:r>
        <w:t xml:space="preserve"> </w:t>
      </w:r>
    </w:p>
    <w:p>
      <w:pPr>
        <w:pStyle w:val="Heading2"/>
      </w:pPr>
      <w:r>
        <w:t>Short Hypothesis</w:t>
      </w:r>
    </w:p>
    <w:p>
      <w:r>
        <w:t>ECB climate-related announcements cause measurable abnormal returns in European banks' equities within a narrow event window.</w:t>
      </w:r>
    </w:p>
    <w:p>
      <w:r>
        <w:t xml:space="preserve"> </w:t>
      </w:r>
    </w:p>
    <w:p>
      <w:pPr>
        <w:pStyle w:val="Heading2"/>
      </w:pPr>
      <w:r>
        <w:t>Related Work</w:t>
      </w:r>
    </w:p>
    <w:p>
      <w:r>
        <w:t>Existing studies use event-study methods to measure how policy or climate signals affect asset prices, often applying market-model or factor-adjusted abnormal returns and occasional heterogeneity analysis by firm characteristics. Prior work finds that greener policies can produce positive abnormal returns and that banks with green finance exposure may benefit more. Limitations in current approaches include: small number of high-salience events producing low statistical power; inadequate treatment of cross-sectional and temporal dependence (which inflates false positives); reliance on daily returns without addressing intraday timing or after-hours announcements; limited or noisy measures of bank climate exposure; and sparse use of dependence-robust inference (permutation or stepdown procedures) or synthetic-data power checks. Many studies also do not convert statistical ARs into economic magnitudes for capital or funding channels.</w:t>
      </w:r>
    </w:p>
    <w:p>
      <w:r>
        <w:t xml:space="preserve"> </w:t>
      </w:r>
    </w:p>
    <w:p>
      <w:pPr>
        <w:pStyle w:val="Heading2"/>
      </w:pPr>
      <w:r>
        <w:t>Abstract</w:t>
      </w:r>
    </w:p>
    <w:p>
      <w:r>
        <w:t>This study measures how European banks' stock prices respond to five pre-specified ECB communications about climate risks using a narrow-window event-study design. We compute abnormal returns (ARs) around each announcement using a market-model benchmark estimated on a long pre-event window, and aggregate to cumulative abnormal returns (CARs) in short windows (intraday when available, [-1,+1], and [-3,+3]). We build bank-level exposure indices for transition and physical risk from public filings and external carbon datasets to test heterogeneous effects. For inference we use dependence-robust procedures: calendar block-permutation to preserve contemporaneous factors, Romano–Wolf stepdown to control familywise error, and wild-cluster bootstrap for panel regressions. We translate ARs into market-cap, cost-of-equity and CET1-equivalent impacts and run synthetic-data experiments to report minimum-detectable effects and false-positive rates. Expected outcomes are credible estimates of average and heterogeneous market reactions and an open, reproducible pipeline that quantifies power limits when only a few events are available.</w:t>
      </w:r>
    </w:p>
    <w:p>
      <w:r>
        <w:t xml:space="preserve"> </w:t>
      </w:r>
    </w:p>
    <w:p>
      <w:pPr>
        <w:pStyle w:val="Heading2"/>
      </w:pPr>
      <w:r>
        <w:t>Methodology</w:t>
      </w:r>
    </w:p>
    <w:p>
      <w:r>
        <w:t>1) Sample and events: assemble a panel of European banks with ISIN keys, daily and intraday prices, and balance-sheet items; select five ECB-origin announcements with verified UTC timestamps. 2) Price cleaning: apply total-return adjustments for dividends/splits, convert to EUR using close FX, flag stale ticks; compute log returns. 3) Benchmark and AR: estimate the market model (regress bank returns on STOXX Europe 600 Banks) on a pre-event estimation window (e.g. [-250,-31]); market model means predicting normal returns from the market index. Abnormal return (AR) = actual − predicted return; cumulative abnormal return (CAR) = sum of ARs over the event window. 4) Inference: implement block-permutation (shuffle event dates across calendar blocks to preserve short-range time dependence), Romano–Wolf stepdown (adjust p-values across families to control familywise error), and wild-cluster bootstrap (cluster by bank or event-day) for panel regressions. Explain: block-permutation keeps nearby days together; Romano–Wolf controls multiple-test errors. 5) Heterogeneity: compute TEI (transition exposure index), PRI (physical risk index), and SSS (supervisory sensitivity score) from filings and external maps; run cross-sectional regressions CAR_be = α + β1 Tone_e + β2 Exposure_b + β3 Tone_e×Exposure_b + controls + event FE. 6) Measurement error: apply SIMEX (simulation-extrapolation) to estimate bias from noisy exposure measures. 7) Economic translation: convert CARs to market-cap changes, implied cost-of-equity shifts and CET1-equivalent basis points using bank market-cap and RWA. 8) Validation: run synthetic-data simulations that mimic factor structure and clustered shocks to calibrate MDE and tune block length. 9) Reproducibility: containerize code, fix RNG seeds, and archive synthetic datasets.</w:t>
      </w:r>
    </w:p>
    <w:p>
      <w:r>
        <w:t xml:space="preserve"> </w:t>
      </w:r>
    </w:p>
    <w:p>
      <w:pPr>
        <w:pStyle w:val="Heading2"/>
      </w:pPr>
      <w:r>
        <w:t>Experiments</w:t>
      </w:r>
    </w:p>
    <w:p>
      <w:r>
        <w:t>Datasets: (1) intraday (1–5 min) and daily prices for European banks (primary listing ISIN), (2) STOXX Europe 600 Banks index and STOXX600 broad index, (3) bank balance-sheet items (market-cap, RWA, CET1, lending by sector) from filings, (4) external carbon/fossil exposure metrics (MSCI/ISS proxies), (5) ECB announcement texts and timestamps, (6) CDS spreads and trade volume series. Baselines: (A) market-model CAR (primary), (B) Fama-French Europe 3-factor CAR, (C) market-adjusted returns. Event windows: intraday around timestamp, [-1,+1], [-3,+3]. Estimation window: [-250,-31]. Inference: block-permutation (L=3 default, test L∈{1,3,5}), Romano–Wolf stepdown with 10,000 resamples, wild-cluster bootstrap with 1,999 reps. Metrics: mean CAR (percent), t-statistics, permutation p-values, familywise error rate (FWER), minimum-detectable CAR in bps, economic magnitudes (EUR market-cap change, CET1 bps). Experiments: 1) Primary test: pooled average CAR[-1,+1] across five events vs zero. 2) Heterogeneity: regression of CAR on Tone×TEI and Tone×PRI with bank controls; report β3 and p-values. 3) Benchmark robustness ablation: repeat (1) using STOXX600, national bank indexes, and FF3 residuals; report change in sigma_daily and MDE. 4) Small‑E strategy ablation: pooled estimate vs event-specific estimates vs hierarchical random-effects meta-analysis (report pooled mean and between-event variance). 5) Liquidity ablation: exclude bottom ADTV percentile (data-driven breakpoint) and compare results. 6) Synthetic-data validation: simulate panels with factor structure and injected effects to estimate power and false-positive rates for the inference pipeline. Report all tables: pooled CAR, event-by-event CARs, heterogeneity coefficients, MDE grid, and synthetic power diagnostics.</w:t>
      </w:r>
    </w:p>
    <w:p>
      <w:r>
        <w:t xml:space="preserve"> </w:t>
      </w:r>
    </w:p>
    <w:p>
      <w:pPr>
        <w:pStyle w:val="Heading2"/>
      </w:pPr>
      <w:r>
        <w:t>Risk Factors And Limitations</w:t>
      </w:r>
    </w:p>
    <w:p>
      <w:r>
        <w:t>1) Small number of events (E=5) limits statistical power and precision for event-specific effects; pooled estimates risk masking heterogeneity. 2) Cross-sectional and time dependence (common market shocks) can inflate type I error if not fully captured. 3) Intraday data availability and vendor costs may restrict high-frequency tests; after-hours announcements create timing ambiguity. 4) Measurement error in TEI/PRI (proxied exposures) causes attenuation bias; SIMEX may not fully correct non-classical errors. 5) Weak IVs: proposed instruments (historical regional industry composition) may be weak or violate exclusion restrictions. 6) Survivorship and selection bias if delisted or merged banks are excluded. 7) Microstructure noise (bid-ask bounce, stale quotes) can bias intraday ARs. 8) Generalization: results for ECB announcements and European banks may not apply to other central banks or sectors. 9) Computational limits: large permutation/bootstrap replication with intraday panels is compute intensive and may require downsampling or cloud resources.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