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esif_tfp_spatio_temporal_iv</w:t>
      </w:r>
    </w:p>
    <w:p>
      <w:r>
        <w:t xml:space="preserve"> </w:t>
      </w:r>
    </w:p>
    <w:p>
      <w:pPr>
        <w:pStyle w:val="Heading2"/>
      </w:pPr>
      <w:r>
        <w:t>Title</w:t>
      </w:r>
    </w:p>
    <w:p>
      <w:r>
        <w:t>Using spatially validated Bartik instruments and Monte‑Carlo TFP draws to estimate the impact of EU cohesion funds on regional TFP growth across time and space</w:t>
      </w:r>
    </w:p>
    <w:p>
      <w:r>
        <w:t xml:space="preserve"> </w:t>
      </w:r>
    </w:p>
    <w:p>
      <w:pPr>
        <w:pStyle w:val="Heading2"/>
      </w:pPr>
      <w:r>
        <w:t>Short Hypothesis</w:t>
      </w:r>
    </w:p>
    <w:p>
      <w:r>
        <w:t>A contemporaneous increase of €1,000 per capita in paid ESIF flows causes a positive increase in annual regional total factor productivity (TFP) growth at the NUTS2 level.</w:t>
      </w:r>
    </w:p>
    <w:p>
      <w:r>
        <w:t xml:space="preserve"> </w:t>
      </w:r>
    </w:p>
    <w:p>
      <w:pPr>
        <w:pStyle w:val="Heading2"/>
      </w:pPr>
      <w:r>
        <w:t>Related Work</w:t>
      </w:r>
    </w:p>
    <w:p>
      <w:r>
        <w:t>Existing approaches connect EU cohesion transfers to regional growth using reduced‑form regressions, Bartik (predicted allocation) instruments, fuzzy eligibility discontinuities, and difference‑in‑differences variants. Growth‑accounting studies compute regional TFP but often ignore measurement uncertainty in capital services or treat capital as exogenous. Spatial econometrics literature models spillovers with spatial lag/SDM methods but rarely integrates IV identification with spatial IV validation. Recent staggered‑DiD methods address timing heterogeneity but do not jointly handle measurement error in outcomes and multi‑region project apportionment. Limitations are: (1) instrument validity concerns from correlated national shocks and formula inputs; (2) poor propagation of TFP and fund measurement uncertainty into inference; (3) weak treatment of overlapping funds and collinearity across fund types; (4) limited spatial‑IV validation across alternative spatial matrices; and (5) underpowered subgroup inference without pre‑specified MDE rules.</w:t>
      </w:r>
    </w:p>
    <w:p>
      <w:r>
        <w:t xml:space="preserve"> </w:t>
      </w:r>
    </w:p>
    <w:p>
      <w:pPr>
        <w:pStyle w:val="Heading2"/>
      </w:pPr>
      <w:r>
        <w:t>Abstract</w:t>
      </w:r>
    </w:p>
    <w:p>
      <w:r>
        <w:t>This study quantifies how different EU cohesion funds affect regional total factor productivity (TFP) growth across 262 NUTS2 regions from 2000–2019, allowing effects to vary by time phase and regional development. We compute region‑level gross‑output TFP using capital services and generate Monte‑Carlo draws that vary depreciation, initial capital backcasts and factor shares to capture measurement uncertainty. Fund flows are harmonized, apportionment rules are documented, and multiple imputed fund panels reflect allocation and payment uncertainty. Identification combines a predicted‑allocation (Bartik) instrument built from allocation formula inputs and pre‑treatment shares, eligibility discontinuities (fuzzy RDD), and national co‑financing shocks; spatial IVs (W×predicted_shares) using travel‑time and alternative Ws test spillovers. Estimation uses fixed effects with distributed lags, IV FE, and Spatial Durbin Models for direct/indirect effects. We pair Monte‑Carlo TFP draws with fund imputations and pool estimates to report robust point estimates and conservative intervals. Expected contributions are a reproducible pipeline that credibly links ESIF flows to TFP growth while fully propagating measurement and apportionment uncertainty and validating spatial identification.</w:t>
      </w:r>
    </w:p>
    <w:p>
      <w:r>
        <w:t xml:space="preserve"> </w:t>
      </w:r>
    </w:p>
    <w:p>
      <w:pPr>
        <w:pStyle w:val="Heading2"/>
      </w:pPr>
      <w:r>
        <w:t>Methodology</w:t>
      </w:r>
    </w:p>
    <w:p>
      <w:r>
        <w:t>1) Data harmonization: build annual panel 2000–2019 with NUTS2 TFP inputs and ESIF payment/commitment records. Normalize geographies and flag provenance (raw/derived/modelled). 2) TFP measurement: compute gross‑output TFP via growth accounting using capital services; generate M = 1,000 Monte‑Carlo draws by varying depreciation rates, initial capital backcasts, factor‑share calibrations and deflators. (Monte‑Carlo draw = one plausible TFP series per region×year.) 3) Fund panels and imputation: produce K = 50 imputed fund panels using beneficiary shares when available; otherwise apportion by documented descriptors → population → employment; convert commitments to payments using empirical program×member‑state disbursement profiles; flag modelled values. 4) Instrument construction: (a) predicted‑allocation (Bartik) instrument = sum over programs of (national/formula period input × region pre‑treatment share), formalize formula inputs per program in appendix; (b) fuzzy RDD at eligibility cutoffs (e.g., 75% GDPpc); (c) national co‑financing/time shocks interacted with predicted shares. 5) Spatial instruments: build multiple Ws (primary travel‑time road+rail row‑standardised, alternates contiguity queen, k‑NN k=4, inverse‑distance); compute W×predicted_shares. 6) Estimation: baseline linear FE on annual TFP growth with distributed lags 0–4 years, region and year FE, region linear trends, and baseline controls. IV estimation uses predicted_shares (and spatial IVs) instrumenting paid funds; present Anderson‑Rubin and CLR CIs. Spatial Durbin Model (SDM) recovers direct and indirect effects. 7) Uncertainty propagation: pair each TFP draw with an imputed fund panel (draws×imputations), run full estimation per pair, and combine estimates/variances via Rubin pooling; report pooled point estimates, percentile envelopes, and conservative bounds across all pairs. 8) Validation and diagnostics: first‑stage F&gt;10 or report weak‑IV AR/CLR; lead/placebo tests, permutation of predicted shares, covariate balance checks, residual Moran’s I, and sensitivity grids for Conley cutoffs and Ws. 9) Pre‑specified heterogeneity: estimate interactions by development band, absorptive capacity, sectoral shares, urbanization, and time phases (2000–2008, 2008–2014, 2014–2019). 10) Simulations and power: calibrate Monte‑Carlo simulations (N=262, T=20) embedding spatial correlation and persistence to choose estimator (Callaway &amp; Sant’Anna / Sun &amp; Abraham vs IV FE/GMM) and pre‑register MDEs per subgroup.</w:t>
      </w:r>
    </w:p>
    <w:p>
      <w:r>
        <w:t xml:space="preserve"> </w:t>
      </w:r>
    </w:p>
    <w:p>
      <w:pPr>
        <w:pStyle w:val="Heading2"/>
      </w:pPr>
      <w:r>
        <w:t>Experiments</w:t>
      </w:r>
    </w:p>
    <w:p>
      <w:r>
        <w:t>Datasets: (1) ESIF project-level payments and commitments from Commission portals and national trackers, 2000–2019; (2) regional accounts: gross output, employment, wages, capital asset stocks or proxies (Eurostat, national accounts); (3) spatial data: travel‑time matrices, contiguity, commuting flows; (4) pre‑treatment covariates: education, R&amp;D, bank credit. Baselines: A) TWFE OLS on TFP growth; B) IV FE using predicted_allocation Bartik instrument; C) IV FE with spatial IV (W×predicted_shares); D) Spatial Durbin Model (SDM) with instrumenting; E) Callaway &amp; Sant’Anna / Sun &amp; Abraham staggered‑DiD; F) system‑GMM. Evaluation metrics: estimated effect (percentage point change in annual TFP growth per €1,000pc), first‑stage partial R2 and F, Anderson‑Rubin and CLR CI widths, bias and coverage in calibrated simulations (RMSE, bias, 95% coverage), Moran’s I of residuals, statistical power and MDE per subgroup. Setup: pair M = 1,000 TFP draws with K = 50 imputed fund panels producing M×K estimation runs; combine via Rubin pooling and report pooled estimates plus percentile envelope. Ablations: i) run estimations without Monte‑Carlo TFP draws (single baseline TFP) to measure underestimated uncertainty; ii) drop spatial IV and compare direct/indirect effect estimates; iii) orthogonalize fund types sequentially (ERDF first, residualize others) vs joint estimation to test collinearity effect; iv) instrument capital services (if candidate instruments exist) vs treating K as exogenous to assess bias. Placebo and falsification: lead regressions of future funding on pre‑treatment TFP, permutation of predicted shares (10,000 draws), fake funding year event‑studies. Subsample experiments: by period (pre‑crisis, crisis, recovery) and by development terciles/quartiles. Report all results with pre‑specified multiplicity correction (FDR) and show aggregated marginal effects.</w:t>
      </w:r>
    </w:p>
    <w:p>
      <w:r>
        <w:t xml:space="preserve"> </w:t>
      </w:r>
    </w:p>
    <w:p>
      <w:pPr>
        <w:pStyle w:val="Heading2"/>
      </w:pPr>
      <w:r>
        <w:t>Risk Factors And Limitations</w:t>
      </w:r>
    </w:p>
    <w:p>
      <w:r>
        <w:t>1) Weak instruments: predicted_shares or spatial IVs may be weak in some subsamples, leading to wide or invalid IV CIs. 2) Measurement error: persistent or non‑classical errors in TFP or fund apportionment may bias point estimates even after pooling. 3) Collinearity: overlapping fund flows (ERDF/ESF/CF/EAFRD) can cause unstable coefficient estimates for separate fund types. 4) Spatial weight sensitivity: results may depend on the chosen W and travel‑time construction; different Ws can change inferred spillovers. 5) Endogenous capital: ESIFs may change capital accumulation contemporaneously, invalidating TFP accounting if capital is treated as exogenous. 6) Power limits: smaller subsamples (by fund type, period, or development band) may lack power to detect plausible effects. 7) Assumption fragility: exclusion restrictions for Bartik and spatial IVs rely on plausibility that formula inputs and national shocks are exogenous to local shocks; violations would invalidate causal claims. 8) Computational load: M×K estimation (1,000×50) is computationally heavy and may require large compute resources. 9) External validity: results for 2000–2019 NUTS2 regions may not generalize to other periods, levels of aggregation, or non‑EU contexts. 10) Data gaps: incomplete beneficiary or payment records force imputation; modelled flows carry provenance risk and may influence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