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true_pricing_dce</w:t>
      </w:r>
    </w:p>
    <w:p>
      <w:r>
        <w:t xml:space="preserve"> </w:t>
      </w:r>
    </w:p>
    <w:p>
      <w:pPr>
        <w:pStyle w:val="Heading2"/>
      </w:pPr>
      <w:r>
        <w:t>Title</w:t>
      </w:r>
    </w:p>
    <w:p>
      <w:r>
        <w:t>Discrete choice experiment evaluation of price-presentation formats for true pricing in food purchases</w:t>
      </w:r>
    </w:p>
    <w:p>
      <w:r>
        <w:t xml:space="preserve"> </w:t>
      </w:r>
    </w:p>
    <w:p>
      <w:pPr>
        <w:pStyle w:val="Heading2"/>
      </w:pPr>
      <w:r>
        <w:t>Short Hypothesis</w:t>
      </w:r>
    </w:p>
    <w:p>
      <w:r>
        <w:t>Displaying absolute monetary true-price information at the point of sale increases the probability that consumers select lower-external-cost food products in discrete choice experiments compared to no true-price information.</w:t>
      </w:r>
    </w:p>
    <w:p>
      <w:r>
        <w:t xml:space="preserve"> </w:t>
      </w:r>
    </w:p>
    <w:p>
      <w:pPr>
        <w:pStyle w:val="Heading2"/>
      </w:pPr>
      <w:r>
        <w:t>Related Work</w:t>
      </w:r>
    </w:p>
    <w:p>
      <w:r>
        <w:t>Prior studies have tested adding external costs or sustainability labels to product prices and found shifts toward more sustainable or organic options and higher trust in labeled products. Existing approaches vary in how they present information (monetary add-ons, percentage uplifts, or narrative labels) and in analytical methods (simple choice shares, standard logit models, or unconstrained WTP reporting). Limitations include inconsistent treatment of presentation format effects, limited cross-country comparisons, underpowered designs for small percentage-point effects, sparse preregistered multiplicity control, instability in WTP recovery when price variation is weak, limited use of incentivized choices, and few studies that randomize mediator salience or formally test measurement invariance across languages. Small-cluster retail pilots often use asymptotic inference despite few clusters. These gaps leave open which presentation formats reliably change choice behavior and how robustly WTP can be estimated.</w:t>
      </w:r>
    </w:p>
    <w:p>
      <w:r>
        <w:t xml:space="preserve"> </w:t>
      </w:r>
    </w:p>
    <w:p>
      <w:pPr>
        <w:pStyle w:val="Heading2"/>
      </w:pPr>
      <w:r>
        <w:t>Abstract</w:t>
      </w:r>
    </w:p>
    <w:p>
      <w:r>
        <w:t>We study how formats for communicating "true prices"—prices that internalize external environmental, health, and social costs—affect consumer choices. Using a randomized discrete choice experiment (DCE) across Dutch and Danish samples, we compare three label formats (control: price-only; absolute: added monetary external cost; relative: percentage uplift) and an aggregate versus decomposed breakdown option. The primary outcome is the intent-to-treat effect on the binary choice of a focal product per choice occasion. Secondary analyses recover willingness-to-pay (WTP) via mixed-logit models and test mediation through trust and price recall using randomized salience boosts as instruments. Deliverables include seeded power simulations, pre-registered multiplicity rules, label mockups, and a small incentivized pilot with voucher redemption. The main contribution is a transparent, preregistered empirical pipeline that identifies which presentation formats reliably shift choices and produces robust, reproducible WTP estimates to inform labeling policy and retailer practice.</w:t>
      </w:r>
    </w:p>
    <w:p>
      <w:r>
        <w:t xml:space="preserve"> </w:t>
      </w:r>
    </w:p>
    <w:p>
      <w:pPr>
        <w:pStyle w:val="Heading2"/>
      </w:pPr>
      <w:r>
        <w:t>Methodology</w:t>
      </w:r>
    </w:p>
    <w:p>
      <w:r>
        <w:t>1. Sample and recruitment: recruit national panels in the Netherlands and Denmark (target N=1,400; 700 per country) with quotas on age, gender, education, region and income tercile. Option to increase N to 2,400 if simulations require higher power. 2. Experimental design: a respondent-level randomized 3×2 factorial: price-info format (Control / Absolute / Relative) × information structure (Aggregate / Breakdown). Each respondent completes 8 choice sets, each with 3 alternatives including one pre-specified focal SKU. Randomization blocked by country × gender × three age bands × environmental-attitude tercile; server-side seed logged (seed = 20260515). 3. Stimuli and interface: label mockups for desktop/mobile matching conditions; breakdown toggle when allowed; timed-exposure and comprehension checks embedded. 4. Incentives and pilot: one incentivized choice per respondent via single-use grocery voucher (pilot n=200, 100 per country) to measure compliance effects. 5. Primary analysis: estimate ITT ATE on binary selection at choice-occasion level with a linear probability model (LPM) clustered by respondent (clustered SEs robust to heteroskedasticity). Report logit as robustness. 6. WTP recovery: estimate panel mixed-logit models allowing respondent-level random parameters (panel means and full covariance). Preferred specification: estimate in WTP-space (directly models willingness-to-pay) to improve stability when price variation is limited; alternative: preference-space estimation with price coefficient constrained to be negative (use log-normal for price if needed). 7. Mixed-logit technical choices: random-parameter distributions — non-price attributes: normal; price (if preference-space): log-normal to enforce sign; if WTP-space, model WTP random draws directly. Use correlated parameters (full covariance) and quasi-random low-discrepancy Sobol draws with 1000 draws per respondent for simulation-based integration (Sobol = fast, more stable than pure random draws). Panel structure: include respondent-specific random effects to model repeated choice occasions. 8. WTP inference: report bootstrap percentile CIs (nonparametric, 1000 bootstrap resamples) and delta-method where ratio-based estimates are used; present mean and median WTP and distribution quantiles. 9. Mediation and identification: randomize mediator-related treatments (breakdown vs aggregate, salience boost, encouragement to view methodology). Use Imai-style causal mediation where assumptions are plausible; where instrumented, use two-stage IV mediation with salience as instrument for price recall. Report E-values and bounds for sensitivity. 10. Data quality: forward/back translation, 8–12 cognitive interviews per language, attention checks, fraud flags (completion time &lt;33% median, &gt;1 attention-check failure, straightlining &gt;0.9, duplicate IDs, geo mismatch). Maintain ITT but tag per-protocol exclusions. 11. Reproducibility: preregister full pre-analysis plan, seeds, software versions, containerized code (Docker), synthetic data, and archived simulation outputs.</w:t>
      </w:r>
    </w:p>
    <w:p>
      <w:r>
        <w:t xml:space="preserve"> </w:t>
      </w:r>
    </w:p>
    <w:p>
      <w:pPr>
        <w:pStyle w:val="Heading2"/>
      </w:pPr>
      <w:r>
        <w:t>Experiments</w:t>
      </w:r>
    </w:p>
    <w:p>
      <w:r>
        <w:t>1. Primary field experiment: sample = N=1,400 (700 NL, 700 DK). Each respondent: 8 choice sets, 3 alternatives/set. Arms: Control; Absolute-Aggregate; Absolute-Breakdown; Relative-Aggregate; Relative-Breakdown (3×2 factorial). Randomization seed = 20260515. Primary metric: ATE in percentage points for probability of selecting focal SKU per choice occasion. Baseline estimators: LPM clustered by respondent; robustness: clustered logit. Multiplicity control: gatekeeping tree with omnibus pooled test (Any-treatment vs Control) then Holm step-down for country and format contrasts. 2. Incentivized pilot: N=200 (100 NL, 100 DK) with one incentivized choice redeemable voucher; compare selection rates to non-incentivized subsample. Metric: difference-in-differences in focal SKU selection and voucher redemption rate. 3. Mixed-logit WTP experiments: estimate WTP under two estimation strategies: (A) WTP-space mixed-logit with Sobol 1000 draws; (B) preference-space mixed-logit with log-normal price and normal non-price parameters, Sobol 1000 draws. Compare mean WTP, SE, and distributional quantiles. Ablation: remove breakdown to test its incremental effect; compare Absolute vs Relative; compare with/without incentive. 4. Small-store pilot: randomized shelf-label deployment in 10–20 stores for 4 weeks (cluster = store or shelf). Outcomes: SKU-level sales change, voucher redemptions, short intercept surveys for shoppers. Inference: exact/randomization inference at cluster level (permutation of cluster labels), Westfall–Young resampling for multiple contrasts. 5. Diagnostics and baselines: baseline choice probability estimated from control arm; compute MDE tables from archived seeded simulations under ICC values {0.02,0.05,0.10} and intra-respondent correlations {0.2,0.4}. 6. Missing data and imputation: multiple imputation by chained equations (MICE) with 20 imputations for missing covariates; pool using Rubin's rules. 7. Evaluation metrics: primary ATE (pp) with 95% CIs and Holm-adjusted p-values; WTP mean, median, 95% CI, and SE; comprehension recall rate (% correct); voucher redemption (%); pilot sales % change and cluster-level p-value. 8. Comparison/ablation studies: (i) WTP-space vs preference-space estimates; (ii) random-parameter distribution sensitivity (normal vs t-robust); (iii) number of draws sensitivity (500 vs 1000 vs 2000 Sobol); (iv) effect of incentivization (pilot vs main).</w:t>
      </w:r>
    </w:p>
    <w:p>
      <w:r>
        <w:t xml:space="preserve"> </w:t>
      </w:r>
    </w:p>
    <w:p>
      <w:pPr>
        <w:pStyle w:val="Heading2"/>
      </w:pPr>
      <w:r>
        <w:t>Risk Factors And Limitations</w:t>
      </w:r>
    </w:p>
    <w:p>
      <w:r>
        <w:t>1. Power and detectable effect sizes: pooled N=1,400 may only detect ~6–7 percentage-point changes; country cells are underpowered for small effects. 2. Weak price variation: limited variation in price can make price coefficients small or unstable, hurting WTP recovery. 3. Scale heterogeneity: different error variances across NL and DK samples can bias cross-country comparison of coefficients and WTP. 4. Non-compensatory behavior: lexicographic choices or attribute non-attendance can invalidate mixed-logit assumptions and bias WTP. 5. Mediator measurement error: noisy recall and trust measures reduce power of mediation tests and IV strength. 6. Fraud and panel quality: bot responses or low-effort respondents may contaminate ITT estimates; fraud flags may inadequately catch subtle low-quality responses. 7. Small-cluster inference: store pilot with few clusters may yield low power and wide uncertainty even with exact inference. 8. Generalization limits: online DCE choices may not reflect in-store real purchases; label mockups may behave differently in physical retail settings. 9. Computational cost: mixed-logit with many correlated random parameters and 1000+ draws is computationally intensive and may slow iterative model checks. 10. GDPR and vendor constraints: data access limits, encrypted linking files, and vendor redaction may complicate replication of raw linkage to voucher redemptions. 11. Translation and measurement invariance: failure of scalar invariance across languages can limit cross-country latent-score comparisons. 12. Missing data and attrition: differential attrition or missing covariates may bias subgroup analyses despite imputation.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