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airline_markup_attribute_decomposition</w:t>
      </w:r>
    </w:p>
    <w:p>
      <w:r>
        <w:t xml:space="preserve"> </w:t>
      </w:r>
    </w:p>
    <w:p>
      <w:pPr>
        <w:pStyle w:val="Heading2"/>
      </w:pPr>
      <w:r>
        <w:t>Title</w:t>
      </w:r>
    </w:p>
    <w:p>
      <w:r>
        <w:t>Decomposing annual markup changes using a directional revenue-frontier that incorporates product differentiation: evidence from the U.S. airline industry</w:t>
      </w:r>
    </w:p>
    <w:p>
      <w:r>
        <w:t xml:space="preserve"> </w:t>
      </w:r>
    </w:p>
    <w:p>
      <w:pPr>
        <w:pStyle w:val="Heading2"/>
      </w:pPr>
      <w:r>
        <w:t>Short Hypothesis</w:t>
      </w:r>
    </w:p>
    <w:p>
      <w:r>
        <w:t>Exogenous improvements in airline product attributes causally increase firm-level markups by shifting the directional revenue frontier measured along each carrier's observed market mix.</w:t>
      </w:r>
    </w:p>
    <w:p>
      <w:r>
        <w:t xml:space="preserve"> </w:t>
      </w:r>
    </w:p>
    <w:p>
      <w:pPr>
        <w:pStyle w:val="Heading2"/>
      </w:pPr>
      <w:r>
        <w:t>Related Work</w:t>
      </w:r>
    </w:p>
    <w:p>
      <w:r>
        <w:t>Prior work builds on Lovell-style revenue or price-frontier decompositions to study airline markups and links output attributes to profitability. Existing approaches typically estimate a common revenue frontier and attribute variation in markups to scale, frontier shifts, or residuals. Limitations include (1) limited treatment of product differentiation as an explicit driver of the marginal price frontier along the firm's observed mix, (2) reliance on single frontier estimators (often parametric) without robust nonparametric or quantile-envelope checks, (3) weak handling of attribute endogeneity and instrument validation, (4) inadequate corrections for staggered events and heterogeneous timing in event studies, (5) sparse protocols for ancillaries/codeshare allocation and accounting reconciliation, and (6) insufficient propagation of frontier-estimation uncertainty into inference. These gaps reduce causal interpretability and robustness of attribution to product differentiation.</w:t>
      </w:r>
    </w:p>
    <w:p>
      <w:r>
        <w:t xml:space="preserve"> </w:t>
      </w:r>
    </w:p>
    <w:p>
      <w:pPr>
        <w:pStyle w:val="Heading2"/>
      </w:pPr>
      <w:r>
        <w:t>Abstract</w:t>
      </w:r>
    </w:p>
    <w:p>
      <w:r>
        <w:t>This project develops and applies a novel markup-decomposition framework that explicitly integrates product differentiation into annual markup changes for U.S. airlines. We define the firm-level price frontier as the directional derivative of a revenue frontier taken along each carrier's observed market output mix, p* = D_{s}R(y,a). We estimate p* using complementary estimators (parametric translog with analytic gradients, upper-quantile frontiers with bias-corrected local derivatives, and convex-hull/SFA checks), instrument attribute variation using plausibly exogenous events (aircraft deliveries, slot reallocations, terminal openings), and pre-register diagnostics for identification. Main contributions are (1) a transparent mapping from attribute changes to frontier shifts and markups, (2) a pre-registered IV/event-study pipeline addressing staggered timing and weak instruments, and (3) accounting reconciliations linking decomposition components to economic profit and consumer-surplus bounds. Applied to two decades of U.S. carrier data, the method yields causal estimates of how product upgrades, ancillaries, and network changes drive profitability and welfare.</w:t>
      </w:r>
    </w:p>
    <w:p>
      <w:r>
        <w:t xml:space="preserve"> </w:t>
      </w:r>
    </w:p>
    <w:p>
      <w:pPr>
        <w:pStyle w:val="Heading2"/>
      </w:pPr>
      <w:r>
        <w:t>Methodology</w:t>
      </w:r>
    </w:p>
    <w:p>
      <w:r>
        <w:t>1) Define objects in simple terms: y is a vector of firm outputs across markets (e.g., RPKs by route). The revenue frontier R_t(y,a) gives maximum revenue given outputs y and attributes a. The firm's directional price frontier p* is the rate revenue increases when scaling the firm's observed mix, computed as the dot product of the revenue gradient and the firm's mix s (s = firm output vector normalized).</w:t>
        <w:br/>
        <w:br/>
        <w:t>2) Frontier estimation: estimate R by three complementary methods: (a) translog parametric frontier estimated year-by-year (gives analytic gradient), (b) high-quantile nonparametric frontier (e.g., 95th conditional quantile) with bias-corrected local-polynomial derivatives, and (c) convex-hull / FDH and SFA for robustness. For nonparametric derivatives use finite differences or local-polynomial order-2 with Calonico–Cattaneo–Farrell bias correction; choose bandwidth by cross-validation.</w:t>
        <w:br/>
        <w:br/>
        <w:t>3) Attributes and dimensionality: assemble an attribute panel (cabin mix, seat pitch/width, Wi-Fi tiers, ancillaries, frequency/nonstop counts, fleet age, loyalty metrics). Reduce dimension for visualization with PCA (retain 90% variance). For causal stage select attributes with LASSO + stability selection (retain variables chosen in ≥80% of folds).</w:t>
        <w:br/>
        <w:br/>
        <w:t>4) Identification and IVs: instrument attribute changes using exogenous events (scheduled manufacturer delivery dates, slot reallocations, terminal/runway openings). Pre-specify which attributes each instrument plausibly affects (e.g., delivery → fleet age, cabin retrofit; slot reallocation → frequency/schedule). Report first-stage partial R2, F-stat; if F&gt;10 proceed with 2SLS; if 5&lt;F≤10 use LIML and AR CIs; if F≤5 present weak-IV bounds.</w:t>
        <w:br/>
        <w:br/>
        <w:t>5) Event studies and staggered timing: implement event-study with leads/lags (−3…+3 years) and adopt modern staggered-treatment estimators (Callaway &amp; Sant’Anna and Sun &amp; Abraham) to recover group-time average treatment effects (ATTs). Report Goodman-Bacon decomposition to show contribution of comparison groups.</w:t>
        <w:br/>
        <w:br/>
        <w:t>6) Measurement error and missingness: estimate classical measurement error from source overlap tables; apply SIMEX for classical scenarios (±10%, ±20%) and IV correction where instruments exist. Flag imputed values and prespecify MAR vs MNAR assumptions; document missingness patterns and bounds.</w:t>
        <w:br/>
        <w:br/>
        <w:t>7) Inference and uncertainty: propagate frontier estimation uncertainty by re-estimating frontiers inside cluster-aware bootstrap (cluster by firm; if clusters few use wild-cluster bootstrap and CR2 adjustments). For event instruments also run permutation/randomization inference.</w:t>
        <w:br/>
        <w:br/>
        <w:t>8) Welfare and accounting mapping: map p* to Lerner-like indices and local consumer-surplus changes under alternative primitives (interpret p* as marginal revenue MR or as inverse demand P); compute EP = EBIT_adj − r·IC_adj for r grid (6,8,10,12%). Provide directional and structural interpretations explicitly.</w:t>
        <w:br/>
        <w:br/>
        <w:t>9) Pre-analysis MC: run Monte Carlo calibrated to N=20 firms, T=20 years, M≈200 markets with attribute collinearity and clustered shocks to evaluate bias, RMSE, and CI coverage and to set power and MDE targets.</w:t>
      </w:r>
    </w:p>
    <w:p>
      <w:r>
        <w:t xml:space="preserve"> </w:t>
      </w:r>
    </w:p>
    <w:p>
      <w:pPr>
        <w:pStyle w:val="Heading2"/>
      </w:pPr>
      <w:r>
        <w:t>Experiments</w:t>
      </w:r>
    </w:p>
    <w:p>
      <w:r>
        <w:t>Datasets: DOT T-100 (segments &amp; markets), DB1B fares and ancillary splits, OAG/Sabre schedules, FAA aircraft registry and manufacturer delivery schedules, Compustat/CRSP for accounting, slot/terminal change logs, and DB1B seat/fare line items.</w:t>
        <w:br/>
        <w:br/>
        <w:t>Sample: 20 largest U.S. airlines, annual panel over ~20 years, market defined as origin-destination-direction (OD-directional). Aggregate firm-year panels by revenue-weighted outputs as primary, test RPK and passenger-weighted alternatives.</w:t>
        <w:br/>
        <w:br/>
        <w:t>Baselines: (A) Lovell-style markup decomposition without explicit attributes; (B) translog frontier OLS (no IV); (C) quantile frontier OLS; (D) translog + IV; (E) translog + IV + measurement-error correction (SIMEX). Codeshare/ancillary allocation baselines: marketed-carrier (primary), operating-carrier, proportional split.</w:t>
        <w:br/>
        <w:br/>
        <w:t>Evaluation metrics: first-stage F-stat and partial R2; estimator bias and RMSE for p* and derivative estimates (from MC); CI coverage rates for decomposition shares; mean absolute and percent changes in EP explained by decomposition components; minimum detectable effect (MDE) for key attribute coefficients at 80% power; out-of-sample predictive MSE (leave-one-market-year-out).</w:t>
        <w:br/>
        <w:br/>
        <w:t>Experimental setup: 1) Pilot: run ETL for 2005–2015 and estimate translog vs quantile frontiers; 2) Identification checks: event-study with −3..+3 leads/lags and Callaway &amp; Sant’Anna / Sun &amp; Abraham estimators; 3) IV tests: run first-stage regressions by attribute/instrument pair, record F-stat and partial R2; 4) Robustness: compare OLS vs IV vs LIML/AR when weak; 5) Ablation study: remove ancillaries, drop top-k revenue routes, and run leave-one-firm-out to assess sensitivity; 6) Monte Carlo: simulate data matching sample structure under weak/strong instrument scenarios to report bias, RMSE, and CI coverage. Report all results with clustered bootstrap CIs and alternative inference (wild-cluster, CR2, randomization).</w:t>
      </w:r>
    </w:p>
    <w:p>
      <w:r>
        <w:t xml:space="preserve"> </w:t>
      </w:r>
    </w:p>
    <w:p>
      <w:pPr>
        <w:pStyle w:val="Heading2"/>
      </w:pPr>
      <w:r>
        <w:t>Risk Factors And Limitations</w:t>
      </w:r>
    </w:p>
    <w:p>
      <w:r>
        <w:t>1) Instrument invalidity: delivery dates or slot events may correlate with unobserved demand or strategic firm timing, violating exclusion; this limits causal claims. 2) Anticipation and staggered adoption: firms may change behavior before events, complicating event-study identification. 3) Non-classical measurement error: attribute errors may be systematic (not classical), biasing estimates and making SIMEX or IV corrections imperfect. 4) Missingness and MNAR: missing attribute data that are not missing at random can bias selection and imputation. 5) Few large clusters: small number of dominant carriers reduces reliability of cluster-robust SEs and complicates inference. 6) Mapping ambiguity: interpreting p* as marginal revenue versus inverse demand requires market-structure assumptions; results can be directional rather than structural. 7) Computational intensity: nested frontier re-estimation inside bootstraps and MCs is compute-heavy. 8) External validity: findings may not generalize outside U.S. carriers, time period, or to low-cost hybrid business models. 9) Overlapping events: multiple concurrent investments complicate attribution across instruments and events. 10) Model misspecification: parametric translog or chosen nonparametric smoothing may misrepresent true frontier, affecting derivative accuracy.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