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epistemic_virtue_cluster_rct</w:t>
      </w:r>
    </w:p>
    <w:p>
      <w:r>
        <w:t xml:space="preserve"> </w:t>
      </w:r>
    </w:p>
    <w:p>
      <w:pPr>
        <w:pStyle w:val="Heading2"/>
      </w:pPr>
      <w:r>
        <w:t>Title</w:t>
      </w:r>
    </w:p>
    <w:p>
      <w:r>
        <w:t>Cluster-randomized trial and agent-based model evaluation of individual epistemic virtue versus structural incentives for improving scientific reliability</w:t>
      </w:r>
    </w:p>
    <w:p>
      <w:r>
        <w:t xml:space="preserve"> </w:t>
      </w:r>
    </w:p>
    <w:p>
      <w:pPr>
        <w:pStyle w:val="Heading2"/>
      </w:pPr>
      <w:r>
        <w:t>Short Hypothesis</w:t>
      </w:r>
    </w:p>
    <w:p>
      <w:r>
        <w:t>Enhancing individual epistemic virtues among central actors (editors and principal investigators) causes a greater increase in reliable scientific behaviors (preregistration, timestamped data/code deposits, and verified corrections) at the lab level than implementing structural incentive changes alone.</w:t>
      </w:r>
    </w:p>
    <w:p>
      <w:r>
        <w:t xml:space="preserve"> </w:t>
      </w:r>
    </w:p>
    <w:p>
      <w:pPr>
        <w:pStyle w:val="Heading2"/>
      </w:pPr>
      <w:r>
        <w:t>Related Work</w:t>
      </w:r>
    </w:p>
    <w:p>
      <w:r>
        <w:t>Prior work separates two explanatory accounts for scientific success: structural accounts that attribute reliable outcomes to incentives, economic structures, and division of cognitive labor, and virtue-focused accounts that emphasize individual epistemic character (intellectual humility, conscientiousness, integrity). Measurement studies have developed self-report scales, forced-choice formats, situational judgment tests, and implicit tasks, but many rely on self-report and show social desirability bias. Open-science policies and infrastructure (badges, mandates, registered reports) have increased certain behaviors but results are mixed and often lack causal evidence at scale. Computational and agent-based models have simulated norm spread and incentive effects but are rarely calibrated with linked psychometric and archival data. Limitations include weak linkage between individual virtue measures and verified archival behavior, scarce randomized trials comparing virtues-oriented interventions to structural reforms, measurement non-invariance across roles/fields, and risk of gaming simple compliance indicators.</w:t>
      </w:r>
    </w:p>
    <w:p>
      <w:r>
        <w:t xml:space="preserve"> </w:t>
      </w:r>
    </w:p>
    <w:p>
      <w:pPr>
        <w:pStyle w:val="Heading2"/>
      </w:pPr>
      <w:r>
        <w:t>Abstract</w:t>
      </w:r>
    </w:p>
    <w:p>
      <w:r>
        <w:t>The credibility crisis in social and behavioral sciences raises a core question: are individual epistemic virtues (e.g., humility, conscientiousness, integrity) necessary for collective scientific reliability, or can structural incentives alone suffice? We propose a combined empirical and computational program that tests this question directly. The program uses a cluster-randomized controlled trial (labs as clusters) comparing structural incentive interventions, virtue-training targeted at central actors, a combined arm, and an active control. Outcomes are verified, time-stamped archival behaviors (preregistration incidence and quality, data/code deposits and reuse, documented corrections) linked to individually validated psychometric and behavioral measures. An agent-based model (ABM) calibrated by pilot priors will generate counterfactuals and identify mechanism-sensitive predictions (e.g., centrality thresholds). Main contributions are (1) causal evidence on the marginal effect of individual virtues versus structural reforms, (2) validated measurement linking self-report, behavioral tasks, and archival outcomes, and (3) model-calibrated targeting strategies. Expected outcomes include clear comparative effect estimates and testable model-driven predictions about leverage points for institutional reform.</w:t>
      </w:r>
    </w:p>
    <w:p>
      <w:r>
        <w:t xml:space="preserve"> </w:t>
      </w:r>
    </w:p>
    <w:p>
      <w:pPr>
        <w:pStyle w:val="Heading2"/>
      </w:pPr>
      <w:r>
        <w:t>Methodology</w:t>
      </w:r>
    </w:p>
    <w:p>
      <w:r>
        <w:t>1) Design: run a cluster-randomized controlled trial where research labs are randomized to one of four arms: (A) structural incentives (badges, administrative support, policy nudges), (B) virtue-training for central actors (workshops on intellectual humility, epistemic conscientiousness, and integrity plus coaching), (C) combined (A+B), (D) active control (training on unrelated topics). 2) Measurement: develop a multi-method battery combining (a) forced-choice self-report scales scored with Thurstonian IRT (reduces social desirability), (b) situational judgment tests and incentivized vignette choices, and (c) brief implicit-response tasks for epistemic humility/conscientiousness. Psychometric validation: require alpha/omega ≥ .70, test–retest ≥ .70, item-total ≥ .30, factor loadings ≥ .40. 3) Archival linkage: link individual and lab identifiers to time-stamped archival records: preregistration timestamps (OSF/ClinicalTrials), data/code deposits (DOI/Git commits), reuse metrics, and corrections/retractions (Retraction Watch). Define preregistration quality as a 0–5 rubric with five binary checkpoints (hypotheses, primary outcomes, analysis plan, sample-size justification, data/code plan). 4) Pilot and calibration: pilot psychometrics with N=300–500 individuals stratified by field/career stage; pilot lab study with ~40 labs (10 per arm) to estimate ICCs and compliance. 5) Computational linkage: build an ABM with heterogeneous agents (PIs, postdocs, students, editors, funders) whose trait parameters (humility, conscientiousness, integrity) influence behavior probabilities; calibrate via Approximate Bayesian Computation (ABC) to pilot trait distributions and archival baselines. 6) Analysis: primary analysis is intent-to-treat (ITT) mixed-effects model with random intercepts for lab and institution. Estimate complier average causal effect (CACE) via assignment as an instrument for receipt (two-stage) if partial compliance occurs. Conduct pre-specified mediation tests (Arm → ΔVirtue → Outcome) using longitudinal multilevel causal mediation methods. 7) Reproducibility: pre-register instruments, invariance/DIF tests, missing-data rules, composite construction, and analytic code.</w:t>
      </w:r>
    </w:p>
    <w:p>
      <w:r>
        <w:t xml:space="preserve"> </w:t>
      </w:r>
    </w:p>
    <w:p>
      <w:pPr>
        <w:pStyle w:val="Heading2"/>
      </w:pPr>
      <w:r>
        <w:t>Experiments</w:t>
      </w:r>
    </w:p>
    <w:p>
      <w:r>
        <w:t>Datasets: (1) Pilot psychometric sample: N=300–500 individuals across disciplines and career stages. (2) Pilot lab sample: ~40 labs (10 per arm) for feasibility. (3) Main trial: target 200 labs randomized in four arms (~50 labs per arm), with all consenting lab members invited for measures. (4) Archival datasets: OSF preregistration timestamps, GitHub/Zenodo DOIs for code/data deposits, Retraction Watch for corrections/retractions, Many Labs / Replication repositories for replication outcomes. Baselines: existing rates of preregistration, data deposits, and correction events per lab from archival records. Baseline assumptions for power: ICC in 0.05–0.15 range; target detectable absolute increase = 0.15 (15 percentage points) in preregistration incidence with 80% power, two-sided α=0.05 (use pilot ICCs to finalize sample sizes). Baselines and Comparisons: compare arms A vs D (structural vs control), B vs D (virtue-training vs control), C vs D (combined vs control), and A vs B (structural vs virtue). Ablation: compare combined arm C to arm A to measure marginal benefit of adding virtue-training. Evaluation metrics: primary—lab-level preregistration incidence (binary per study), preregistration quality score (0–5), timestamped data/code deposit incidence, documented corrections/errata per 100 publications; secondary—validated virtue-scale change (scale score difference), simulated peer-review task performance, mystery-reviewer audit outcomes (accept/reject/revision decisions). Statistical models: mixed-effects logistic regression for binary outcomes, linear mixed models for continuous scores, random effects at lab and institution, covariates fixed: role, field, baseline virtue score, lab size, funding level. Noncompliance: estimate CACE via two-stage least squares using assignment as instrument; report instrument strength F-statistic. Mediation: longitudinal multilevel causal mediation estimating indirect effect with bootstrapped 95% CIs. Psychometrics: run multi-group CFA sequence (configural → metric → scalar) and graded-response IRT; detect DIF with Mantel-Haenszel and IRT-LR tests. Pre-specified ablation: remove forced-choice format to test effect on predictive validity of virtue measures. Reporting: publish pre-registered analysis scripts and anonymized aggregate results.</w:t>
      </w:r>
    </w:p>
    <w:p>
      <w:r>
        <w:t xml:space="preserve"> </w:t>
      </w:r>
    </w:p>
    <w:p>
      <w:pPr>
        <w:pStyle w:val="Heading2"/>
      </w:pPr>
      <w:r>
        <w:t>Risk Factors And Limitations</w:t>
      </w:r>
    </w:p>
    <w:p>
      <w:r>
        <w:t>1) Measurement bias: self-report measures may retain social desirability despite forced-choice and implicit tasks; behavioral tasks may not fully predict real-world behavior. 2) Gaming and falsification: labs may game archival indicators (e.g., superficial preregistration) or produce low-quality deposits. 3) Contamination/spillover: cross-cluster interactions (collaborations, shared students) can dilute treatment contrasts and bias ITT/CACE estimates. 4) Low compliance: central actors may decline training or not change behavior, reducing power for CACE and mediation analyses. 5) Recruitment bias: elites or high-performing labs may decline, limiting external validity and generalization to less-resourced labs. 6) ABM misspecification: model structure or parameter priors may not capture real social dynamics, limiting counterfactual credibility. 7) Data/privacy/legal constraints: linking archival records to individuals/labs may face consent or legal limits, restricting outcome measurement. 8) Scalability and cost: platform setup, audits, onboarding, and sustained coaching are resource-intensive and may limit sample sizes. 9) Statistical limits: mediation identification relies on sequential ignorability and other strong assumptions that may be violated in clustered settings. 10) Generalization limits: results from social and behavioral sciences may not transfer to other disciplines with different norms or incentive structures.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