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women_founders_visibility_germany</w:t>
      </w:r>
    </w:p>
    <w:p>
      <w:r>
        <w:t xml:space="preserve"> </w:t>
      </w:r>
    </w:p>
    <w:p>
      <w:pPr>
        <w:pStyle w:val="Heading2"/>
      </w:pPr>
      <w:r>
        <w:t>Title</w:t>
      </w:r>
    </w:p>
    <w:p>
      <w:r>
        <w:t>Mixed-methods analysis of how visibility practices shape gendered visibility among women tech founders in Germany using interviews and digital traces</w:t>
      </w:r>
    </w:p>
    <w:p>
      <w:r>
        <w:t xml:space="preserve"> </w:t>
      </w:r>
    </w:p>
    <w:p>
      <w:pPr>
        <w:pStyle w:val="Heading2"/>
      </w:pPr>
      <w:r>
        <w:t>Short Hypothesis</w:t>
      </w:r>
    </w:p>
    <w:p>
      <w:r>
        <w:t>When women tech founders adopt explicit "undoing gender" visibility practices (gender-agnostic branding or public advocacy), their normalized online engagement increases relative to periods when they adopt "doing gender" practices.</w:t>
      </w:r>
    </w:p>
    <w:p>
      <w:r>
        <w:t xml:space="preserve"> </w:t>
      </w:r>
    </w:p>
    <w:p>
      <w:pPr>
        <w:pStyle w:val="Heading2"/>
      </w:pPr>
      <w:r>
        <w:t>Related Work</w:t>
      </w:r>
    </w:p>
    <w:p>
      <w:r>
        <w:t>Prior work shows women founders are underrepresented in tech, that gender shapes networking and funding access, and that public visibility can influence success. Existing approaches use interviews, ethnography, and social media metrics but typically treat visibility practices separately (qualitative intent vs. quantitative engagement) and lack a preregistered, reproducible mapping from event-level indicators to a doing/redoing/undoing typology. Limitations include small, non-diverse samples, inconsistent operational definitions of visibility events, few studies combining discourse and behavior, limited validation of automated text/image flags, and sparse attention to intersectional sampling and GDPR-aligned workflows. There is also little work reporting explicit scoring rules or stability analyses for typology thresholds, reducing reproducibility.</w:t>
      </w:r>
    </w:p>
    <w:p>
      <w:r>
        <w:t xml:space="preserve"> </w:t>
      </w:r>
    </w:p>
    <w:p>
      <w:pPr>
        <w:pStyle w:val="Heading2"/>
      </w:pPr>
      <w:r>
        <w:t>Abstract</w:t>
      </w:r>
    </w:p>
    <w:p>
      <w:r>
        <w:t>This study investigates how women tech founders in Germany create public visibility and whether those practices reproduce, reframe, or dismantle gendered norms. We combine semi-structured interviews (N=30–40), participant diaries, and linked public digital traces (12 months) to build case timelines of discrete visibility events. We operationalize an event-level coding rubric that requires both observable practice (post image, wardrobe, platform choice, pitch framing) and accompanying discourse (justification, intent). We propose a preregistered algorithmic rubric that maps coded events to a case-level typology (doing, redoing, undoing) and a pilot sensitivity analysis across threshold sets. The main contribution is a reproducible mixed-methods pipeline: a transparent scoring sheet, CAQDAS templates, classifier validation rules, and member-check protocols under GDPR. Expected outcomes are a validated typology, evidence on how undoing practices relate to online engagement, and a public methods appendix enabling replication and policy-relevant insight into gendered visibility practices in tech entrepreneurship.</w:t>
      </w:r>
    </w:p>
    <w:p>
      <w:r>
        <w:t xml:space="preserve"> </w:t>
      </w:r>
    </w:p>
    <w:p>
      <w:pPr>
        <w:pStyle w:val="Heading2"/>
      </w:pPr>
      <w:r>
        <w:t>Methodology</w:t>
      </w:r>
    </w:p>
    <w:p>
      <w:r>
        <w:t>1) Recruitment and sampling: purposive sample N=30–40 women-identifying and gender-diverse founders in German tech startups. Quotas: migration background ≥20%, racialized founders ≥10%, parental caregivers ≥25%, region mix (≥50% non-Berlin), stage: ≥10 pre-seed/seed and ≥10 growth/scale. Obtain tiered consent for interview, diary, and public digital-trace linkage. 2) Data collection: a) one 60–90 minute interview per participant exploring visibility decisions and intent; b) a 6-month diary or event log of visibility events (structured template); c) archival public digital traces for 12 months (posts on LinkedIn, X, Instagram, press mentions, pitch events) where consented. 3) Define a visibility event: one outward-facing artifact (single post, press mention, pitch); aggregate multi-post campaigns within 7 days and threads within 12 hours; deduplicate identical cross-posts within 24 hours by content hash. 4) Event coding: require two co-occurring elements to code an event: (A) observable practice (image type, wardrobe cue, pronoun use, platform choice, pitch framing) and (B) discourse (stated intent, justification, reframing). Code events into categories: doing, redoing, undoing. Provide clear codebook with examples. 5) Algorithmic rubric (scoring sheet) to map events to case typology: a) assign event-level codes: doing= -1, ambiguous=0, redoing=+1, undoing=+2; b) compute case score S = sum(event_scores)/number_of_events (mean per event); c) compute proportions P_doing, P_redoing, P_undoing = counts/number_of_events; d) decision rules: if P_undoing ≥ 0.50 =&gt; case typology = undoing; else if P_redoing ≥ 0.50 =&gt; redoing; else if P_doing ≥ 0.50 =&gt; doing; else if 0.30 ≤ P_redoing &lt; 0.50 and toggling (context-dependent switching) observed in &gt;30% events =&gt; redoing; else use S thresholds: if S ≥ 1.2 =&gt; undoing; if 0.4 ≤ S &lt; 1.2 =&gt; redoing; if S &lt; 0.4 =&gt; doing. Tie-breakers: prioritize self-reported long-term intent (interview) over behavioral trace; unresolved ties flagged for senior coder adjudication. 6) Pilot and sensitivity: pilot with 8–10 diverse founders to test thresholds {30/50/70}, alternatives {40/60}, windows {3,6,12 months}; compute stability matrices and select threshold with ≥85% stability. 7) Digital-trace processing: extract text features (gendered term counts, hedging markers, assertiveness lexicon, pronoun patterns), image metadata (headshot presence, solo vs group, branding), engagement metrics (likes, comments, shares) normalized by follower count (normalized engagement = engagement / followers). 8) Classifiers and validation: train simple supervised classifiers to flag event types for assistive coding; require precision/recall/F1 ≥0.80 on held-out sets; manually validate stratified 25% sample with ≥85% concordance. 9) Coding workflow: import into MAXQDA, double-code 25% interviews and 30% digital items; target Cohen’s kappa ≥0.70 for primary codes initially and iteratively raise to ≥0.75 for typology. 10) Member-check: provide anonymized packet (redacted quotes + typology mapping) with 14-day response; implement redactions unless they materially contradict analytic claims; log all disagreements.</w:t>
      </w:r>
    </w:p>
    <w:p>
      <w:r>
        <w:t xml:space="preserve"> </w:t>
      </w:r>
    </w:p>
    <w:p>
      <w:pPr>
        <w:pStyle w:val="Heading2"/>
      </w:pPr>
      <w:r>
        <w:t>Experiments</w:t>
      </w:r>
    </w:p>
    <w:p>
      <w:r>
        <w:t>Dataset: Pilot: 8–10 purposive cases. Main: 30–40 cases with 12-month digital traces and 6-month diaries. Supplementary survey: n≈150 online. Baselines: A) naive single-indicator baseline (classify case by majority of observable practices only, ignoring discourse); B) random assignment baseline; C) discourse-only baseline (classify using interview intent alone). Feature extraction: text flags (gendered terms per post), image flags (solo headshot binary), platform features, normalized engagement (engagement/followers). Evaluation metrics: typology assignment accuracy against senior-coded gold set (percentage), Cohen’s kappa for inter-rater reliability, classifier precision/recall/F1, normalized engagement mean and standard deviation per typology, paired statistical tests (paired t-test or Wilcoxon signed-rank for within-case pre/post comparisons), effect size (Cohen's d), clustering quality (silhouette score) for sequence clusters, stability metric: proportion of cases with identical typology across threshold variants. Experimental setup: 1) Pilot sensitivity study: compute typology under thresholds {30/50/70}, {40/60} and windows {3,6,12 months}; report stability matrix and choose threshold with ≥85% stability. 2) Typology validation: create a gold set (double-coded by senior coders) of 25% of cases; train classifier on remaining cases with 5-fold cross-validation; report precision/recall/F1. 3) Engagement analysis: compare normalized engagement across typologies. Primary test: compare mean normalized engagement for events coded as undoing versus doing using independent samples t-test (or Mann-Whitney if non-normal). 4) Ablation study: remove discourse requirement from event coding and recompute case typologies; measure changes in typology assignment rate, classifier metrics, and engagement differences. 5) Robustness checks: re-run main analyses controlling for follower count, platform, region, and stage using stratified comparisons. 6) Survey comparison: compare self-placement on doing/redoing/undoing Likert scale with case typology using agreement statistics (Cohen’s kappa) and report discrepancies.</w:t>
      </w:r>
    </w:p>
    <w:p>
      <w:r>
        <w:t xml:space="preserve"> </w:t>
      </w:r>
    </w:p>
    <w:p>
      <w:pPr>
        <w:pStyle w:val="Heading2"/>
      </w:pPr>
      <w:r>
        <w:t>Risk Factors And Limitations</w:t>
      </w:r>
    </w:p>
    <w:p>
      <w:r>
        <w:t>1) Sampling bias: purposive recruitment via accelerators can over-represent networked founders and limit generalization. 2) Small N: 30–40 cases limits statistical power and external validity. 3) GDPR and consent: linking digital traces may reduce participation and introduce selection bias. 4) Misclassification: coder disagreement or classifier errors can shift typology assignments; inter-rater reliability thresholds may not be met. 5) Confounding: engagement changes may be caused by content topicality, platform algorithm shifts, or follower growth rather than visibility practices. 6) Platform limits: API restrictions, deleted posts, or rate limits can create incomplete traces. 7) Diary compliance: participants may fail to log events consistently, producing uneven timelines. 8) Intersectional measurement: collecting sensitive attributes (race, disability, class) risks re-identification and ethical harms, limiting fine-grained intersectional analysis. 9) Scalability: manual validation and high-quality coding are time-consuming and may not scale to larger samples. 10) Generalization: findings from German tech founders may not apply to other countries, sectors, or cultural contexts.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