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santander_export_growth_panel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Causal analysis of firm-level export growth in Santander, Colombia using panel fixed effects, instrumental variables, and spatial models (2010–2020)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municipality broadband rollout causes a positive increase in annual firm exports measured as ln(exports+1) for exporters headquartered or operating in Santander.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link export growth to firm innovation, access to finance, use of free trade agreements (FTAs), and digital adoption. Common approaches include cross-sectional regressions, firm fixed-effects panels, difference-in-differences around policy changes, and case studies of FTA use. Limitations remain: many works lack credible external instruments for causal claims; spatial spillovers are often ignored or handled superficially; digitalization proxies are noisy and rarely validated against firm surveys; dynamic persistence of exports is sometimes omitted or mis-specified; and small-sample inference with clustered or spatial errors is under-developed. Few studies combine validated digital indices, multiple external instruments, panel SDM (spatial Durbin model) and robust small-sample IV rules in a single design. Identification of long-run elasticities under dynamics and instrument weakness is also rarely provided with explicit finite-sample diagnostics.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estimates causal determinants of firm export growth in Santander, Colombia using a 2010–2020 firm-year panel of ~128 exporters. We test whether exogenous municipality-level broadband rollout and other shocks (travel-time to ports/airports, bank-branch credit-supply shocks, and scheduled FTA tariff phase-ins) drive increases in logged annual exports. The approach combines firm and year fixed-effects, dynamic specifications for long-run elasticities, instrumental-variable (IV) estimation with pre-registered instruments and diagnostics, and spatial panel models (SDM) to decompose direct and spillover effects. We construct and validate a web-scraped digitalization index against a stratified validation survey and implement probabilistic misclassification correction. Main contributions are (1) credible causal elasticities for liquidity, digitalization and policy exposure, (2) spatial opportunity mapping for regional strategy, and (3) a reproducible replication package with validated indices and robustness checks. Expected outputs include policy-interpretable elasticities, counterfactual scenarios, and spatial maps to guide post-pandemic recovery and FTA strategies.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Data assembly: merge firm-year exports (DIAN/Supersociedades), financials, Santander regional opportunity map, firm addresses (geocode), port/road networks, municipality broadband rollout schedules, bank-branch histories, HS4/HS6 FTA tariff phase-in tables, and web-scraped digital proxies for 2010–2020.</w:t>
        <w:br/>
        <w:t>2. Variable construction: primary dependent variable ln(exports+1) at firm-year. Secondary outcomes: export intensity (exports/sales), annual log export growth, exports per employee. Controls: firm age, log assets, employment, sector dummies, product×year or destination×year when applicable, exchange rate and commodity-price indices.</w:t>
        <w:br/>
        <w:t>3. Digital index: build PCA on continuous proxies and IRT (2PL) on binary adoption items; combine into a standardized digital_index. Carry-forward rules: allow up to 2-year carry for slowly changing items and flag missingness.</w:t>
        <w:br/>
        <w:t>4. Validation: stratified validation survey of N=80 exporters (strata by size and sector) to estimate false-positive and false-negative rates for scraped proxies. Target precision/recall ~±9 percentage points (simple proportion SE ~0.09).</w:t>
        <w:br/>
        <w:t>5. Identification and estimation: baseline OLS with firm and year fixed effects; dynamic specs include lagged dependent variables and system GMM where feasible. IV strategy: instruments include inverse-network travel-time to nearest maritime/river port or airport, municipality broadband rollout timing, bank-branch credit-supply shocks (closures/NPL spikes), and scheduled FTA tariff phase-ins weighted by firm HS mix.</w:t>
        <w:br/>
        <w:t>6. Spatial modeling: construct inverse-distance municipality weight matrix (primary), compute Moran's I and LISA, and estimate panel SDM with firm and year FE to decompose direct and indirect effects.</w:t>
        <w:br/>
        <w:t>7. Misclassification correction: use validation-derived FP/FN rates for probabilistic bias correction via multiple imputation or Bayesian adjustment; report corrected and uncorrected estimates.</w:t>
        <w:br/>
        <w:t>8. Robustness and switch rules: pre-specify PPML, two-part models, winsorization, alternative W matrices (k-NN(5), contiguity), instrument caps (strict: ≤ N/10; working: ≤ N/5 with collapsing), and estimator switches (bias-corrected LSDV, Lewbel IV) if weak-IV diagnostics fail.</w:t>
        <w:br/>
        <w:br/>
        <w:t>Definitions in simple words: PCA = a way to combine continuous measures into main components; IRT = a model to score binary adoption items accounting for difficulty; SDM = a spatial regression that estimates own and neighbor effects; system GMM = a method for dynamic panels using internal instruments from lags.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Firm-level panel (exports, sales, assets, employment) 2010–2020 for ~128 Santander exporters. (2) Municipality layers: broadband rollout dates, GDP/employment, port/airport locations, road networks. (3) Bank-branch event data (closure dates, NPL shocks). (4) FTA tariff phase-in timeline by HS4/HS6. (5) Web-scraped digital proxies and validation survey (N=80).</w:t>
        <w:br/>
        <w:br/>
        <w:t>Baselines: A. Firm FE OLS on ln(exports+1). B. Dynamic system GMM. C. IV-FE using broadband rollout as instrument. D. Spatial Durbin Model (SDM) with firm and year FE. E. PPML on levels. F. Two-part model (logit extensive + ln intensive).</w:t>
        <w:br/>
        <w:br/>
        <w:t>Evaluation metrics: estimated elasticities (short-run and long-run), standard errors, 95% CIs, first-stage F-statistic, Kleibergen-Paap, AR(1)/AR(2) p-values, Hansen J p-value, Moran's I for residual spatial autocorrelation, and digital index precision/recall/F1 from validation.</w:t>
        <w:br/>
        <w:br/>
        <w:t>Experimental setup: (1) Primary estimation: OLS FE of ln(exports+1) on liquidity, leverage, digital_index, FTA_exposure, controls; cluster SEs by firm and municipality as pre-specified. (2) IV estimation: instrument digital_index or broadband exposure with municipality broadband rollout; report first-stage and IV diagnostics. (3) Dynamic estimation: include lagged ln(exports+1) and compute long-run elasticity = beta_short/(1 - rho_lag). (4) Spatial estimation: estimate SDM and report direct, indirect and total effects with bootstrap CIs. (5) Robustness/ablation studies: (a) drop digital_index to test contribution of digital measures; (b) replace primary W with k-NN(5) and contiguity to test spatial sensitivity; (c) use PPML and two-part instead of log outcome; (d) run IV with alternative instruments (travel-time, bank shocks, FTA phase-in) to compare point estimates; (e) run estimators with and without misclassification correction to measure bias from digital index errors.</w:t>
        <w:br/>
        <w:br/>
        <w:t>Reporting: present main table with OLS FE, IV-FE, dynamic GMM, SDM, and PPML side-by-side; include first-stage table, validation metrics table, spatial diagnostics, and MDE/power summary for each estimator.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Weak instruments: municipality-level instruments may have weak first stages at the firm level, raising bias in IV estimates. 2. Small sample: ~128 firms and limited clusters reduce power, especially for IV, dynamic GMM, and spatial SDM. 3. Misclassification: web-scraped digital proxies may be noisy and MNAR (missing not at random); validation sample (N=80) may not achieve ±5pp precision. 4. Spatial identification: separating own and spillover effects is harder with many fixed effects; SDM decomposition may be imprecise. 5. Data access delays: administrative approvals (DIAN/Supersociedades) can delay analysis and reduce usable years. 6. Measurement error in exports or financials and inconsistent reporting across years. 7. Pandemic timing: annual data may blur within-year 2020 shocks; quarterly data may be unavailable. 8. External validity: results are specific to Santander and may not generalize to other regions. 9. Model dependence: long-run elasticity estimates rely on dynamic specifications and may vary with estimator choice. 10. Computational limits: spatial network travel-time calculations and bootstrap CIs for SDM can be compute-intensive for repeated robustness checks.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