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effectuation_precommitment_internationalization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PLS-SEM analysis of how SME pre-commitments and effectuation practices shape foreign market opportunity creation and international performance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Greater firm pre-commitment to foreign buyers causally increases the creation of foreign-market entry opportunities, which in turn increases international performance, and this mediated effect is stronger when experiential learning is higher.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research contrasts effectuation (action-oriented, affordable-loss, staged experiments, pre-commitments) with causal/planned decision models and with real-options reasoning. Existing studies show that affordable-loss and iterative experimentation can benefit SME internationalization, but they have three main limits: many use reflective-only measures that misrepresent concrete actions (pre-commitments and opportunity counts are causal/formative measures), most rely on small or convenience samples and cross-sectional designs, and endogeneity and instrument validity are rarely addressed. Other work on real-options and staging emphasizes flexibility but often treats option-like choices qualitatively. Measurement and inference gaps remain: zero-inflation and formative indicator handling, weak-instrument risks, lack of objective performance verification, and limited power calculations for moderated mediation and IV models.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and how SME pre-commitments and other effectuation practices drive creation of foreign-market entry opportunities and thereby improve international performance. Using a structured survey of New Zealand SMEs and a reproducible analysis pipeline, we model pre-commitment and opportunity creation as formative (concrete actions) and affordable-loss, staging logic, real-options reasoning, and experiential learning as reflective constructs. We estimate a primary mediated model (pre-commitment → opportunity creation → international performance) and test experiential learning as a moderator of antecedent→opportunity and opportunity→performance links. Identification and robustness use PLS-SEM for formative blocks, bootstrapped indirect effects, control-function and IV checks (regional program exposure, port proximity, voucher timing), Gaussian copula tests, and 2SLS sensitivity. The contribution is a transparent, preregistered framework that links concrete pre-commitments to measurable opportunity pipelines and performance, clarifies formative measurement practice, and offers empirically grounded guidance for SME internationalization policy and research.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Sample and data collection: Survey a stratified sample of New Zealand SMEs (target N≈332) with export intent or activity; request month/year for pre-commitments and consent for follow-up and document upload. 2) Measurement: treat pre-commitment and opportunity creation as formative (checklist + counts + values) and treat affordable-loss, staging logic, real-options reasoning, experiential learning and perceptual performance as reflective (multi-item Likert). Add monetary/proportional items for affordable loss and pre-commitment value. 3) Preprocessing: for counts and monetary fields apply log(x+1) transform (this reduces skew), convert percentages to 0–1, then standardize (z-score); keep binaries as 0/1. 4) Zero handling: implement two-part specification for zero-inflated formative indicators: a binary any-commitment indicator plus continuous value/count among positives. 5) Primary estimator: consistent PLS-SEM (for formative blocks) with 5,000 bootstrap samples to estimate path coefficients, outer weights and indirect effects. Explain technical terms: PLS-SEM is a technique that estimates relationships between latent variables without assuming normality and works well with formative indicators; bootstrapping draws many random resamples to build confidence intervals. 6) Endogeneity and IVs: run control-function (first-stage residuals inserted into structural model), Gaussian copula for continuous latent scores, and 2SLS on observed composites as robustness. Candidate instruments: regional export-program exposure timing, driving distance to main ports, and staggered voucher rollout dates; logics for exclusion will be documented and balance checks and event-plot diagnostics preregistered. 7) Moderation and mediation: test moderated mediation using product-of-coefficients with bootstrapped confidence intervals and compute the index of moderated mediation. 8) Model checks: report R2, f2 effect sizes, SRMR, HTMT, VIF for formative blocks, first-stage F-statistics for instruments, and PLSpredict for out-of-sample performance. 9) Reproducibility: preregister items and thresholds, provide code, synthetic data and Docker/renv environment, set RNG seed, and supply anonymization scripts.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dataset = survey of N≈332 New Zealand SMEs (baseline) plus 6-month follow-up survey for conversion outcomes; pilot dataset = cognitive interviews n≈35 and pilot survey n≈30–50. Baselines: (A) full PLS-SEM model with formative pre-commitment and OC mediator; (B) same model without experiential learning moderator; (C) CB-SEM or cSEM estimate on observed composites; (D) IV two-stage model (2SLS) on observed composites. Evaluation metrics: path coefficients with 95% bootstrap CIs, bootstrapped indirect effects and index of moderated mediation, R2 for endogenous constructs, f2 effect sizes, SRMR for model fit, HTMT for discriminant validity (&lt;=0.85 preferred), VIF for formative collinearity (&lt;3.3 preferred), PLSpredict RMSE for predictive checks, first-stage F-statistics for instruments (&gt;10 threshold), Hansen J p-value for overidentification. Experimental setup: 1) Preprocess numeric indicators with log(x+1) and z-scoring; implement two-part zero model for formative indicators. 2) Primary estimation: consistent-PLS with 5,000 bootstrap draws. 3) Moderation: create latent-score interaction using two-stage product indicator method and test significance via bootstrap. 4) Mediation: compute product-of-coefficients and bootstrap indirect CI (5,000 draws). 5) IV tests: first-stage regressions of suspect predictors on instruments; run control-function within PLS latent-score, Gaussian copula test, and 2SLS on composites; report first-stage partial R2 and F. 6) Ablation studies: (i) replace formative pre-commitment with binary-only block, (ii) collapse AL+ST+RO into a higher-order effectuation factor, (iii) omit experiential learning moderator. Compare ΔR2, SRMR, PLSpredict RMSE across ablations. 7) Subgroup analyses: run PLS-MGA or MICOM-based splits by experiential learning (high/low), firm size (0–19, 20–49, 50–99), and exporter stage. 8) Robustness: run CB-SEM on observed composites and LIML/Anderson–Rubin confidence intervals for IV estimates if weak-instrument concerns appear.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Instrument validity: instruments (program exposure, port distance, voucher timing) may fail exclusion tests or be weak; weak instruments reduce identification and inflate variance. 2) Sample and power: N≈332 may be borderline for detecting small moderated-mediation or IV effects and for multiple subgroup splits. 3) Measurement error and common method bias: self-reports and perceptual outcomes risk common-method variance; objective verification may be incomplete due to consent limits. 4) Zero-inflation and formative instability: many firms may report zeros for pre-commitments, complicating formative weight estimation and sign stability. 5) Generalizability: results from New Zealand SMEs may not generalize to large firms or other countries. 6) Model dependence: inferences may change with estimator choice (PLS-SEM vs CB-SEM vs 2SLS); each has different assumptions. 7) Data linkage and ethics: linking admin records (customs/IRD) requires legal/IRB approvals and may fail, reducing objective outcome validation. 8) Omitted variable bias: residual confounders may remain even after IV/control-function checks; sensitivity analyses are needed but cannot fully eliminate this risk.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