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variable_expertise_study</w:t>
      </w:r>
    </w:p>
    <w:p>
      <w:r>
        <w:t xml:space="preserve"> </w:t>
      </w:r>
    </w:p>
    <w:p>
      <w:pPr>
        <w:pStyle w:val="Heading2"/>
      </w:pPr>
      <w:r>
        <w:t>Title</w:t>
      </w:r>
    </w:p>
    <w:p>
      <w:r>
        <w:t>Empirical analysis of developer expertise and engagement with preprocessor-based variable code in configurable software systems</w:t>
      </w:r>
    </w:p>
    <w:p>
      <w:r>
        <w:t xml:space="preserve"> </w:t>
      </w:r>
    </w:p>
    <w:p>
      <w:pPr>
        <w:pStyle w:val="Heading2"/>
      </w:pPr>
      <w:r>
        <w:t>Short Hypothesis</w:t>
      </w:r>
    </w:p>
    <w:p>
      <w:r>
        <w:t>Augmenting conventional expertise metrics with variable-aware metrics (proportion_variable_edits, variable_lines_owned, recency_weighted_variable_activity) causes a statistically significant improvement (ΔAUC ≥ 0.05) in identifying developers who edit preprocessor-based variable code compared to conventional metrics alone.</w:t>
      </w:r>
    </w:p>
    <w:p>
      <w:r>
        <w:t xml:space="preserve"> </w:t>
      </w:r>
    </w:p>
    <w:p>
      <w:pPr>
        <w:pStyle w:val="Heading2"/>
      </w:pPr>
      <w:r>
        <w:t>Related Work</w:t>
      </w:r>
    </w:p>
    <w:p>
      <w:r>
        <w:t>Prior work measures developer expertise using general signals such as total commits, lines changed, file ownership, tenure, and social centrality derived from repository mining. Other research studies variability in configurable systems or software product lines, often focusing on build/config artifacts or static analyses of conditional compilation, but typically on single projects or without validated parser pipelines. Limitations in existing approaches include: (1) conflating edits to mandatory and variable code, (2) lack of validated span-level detection for preprocessor directives, (3) weak identity-resolution protocols leading to misattributed workload, (4) absence of variable-aware expertise metrics, and (5) limited reproducibility and provenance for parser and mapping choices. These gaps make prior expertise labels noisy for variability-specific tasks and reduce confidence in claims about who maintains feature-guarded code.</w:t>
      </w:r>
    </w:p>
    <w:p>
      <w:r>
        <w:t xml:space="preserve"> </w:t>
      </w:r>
    </w:p>
    <w:p>
      <w:pPr>
        <w:pStyle w:val="Heading2"/>
      </w:pPr>
      <w:r>
        <w:t>Abstract</w:t>
      </w:r>
    </w:p>
    <w:p>
      <w:r>
        <w:t>We present a large-scale empirical study that measures who edits preprocessor-based variable code and whether standard expertise metrics identify those developers. We mine 25 configurable-software-system repositories, annotate variable spans implemented with preprocessor directives, and map edits to these spans using a reproducible parser pipeline. We define variable-aware expertise components (e.g., proportion of variable edits, variable-lines-owned, recency-weighted variable activity, feature-diversity, focusedness) and combine them into a Variable Expertise Score (VES). We validate span detection and identity resolution with a stratified labeling protocol and a held-out identity gold set, and we learn VES weights on survey/interview-validated experts. Expected outcomes are (1) quantified concentration of variable-code workload across developers, (2) validated parser and mapping provenance, and (3) evidence that variable-aware metrics improve expert identification and ranking stability versus conventional metrics. Results will inform tool and process design for configurable systems.</w:t>
      </w:r>
    </w:p>
    <w:p>
      <w:r>
        <w:t xml:space="preserve"> </w:t>
      </w:r>
    </w:p>
    <w:p>
      <w:pPr>
        <w:pStyle w:val="Heading2"/>
      </w:pPr>
      <w:r>
        <w:t>Methodology</w:t>
      </w:r>
    </w:p>
    <w:p>
      <w:r>
        <w:t>1) Repository selection: use 25 preprocessor-rich configurable software system (CSS) projects (pilots: linux, ffmpeg, libreoffice) chosen for language diversity and build-system types. 2) Span detection: run four parsers in ordered fallback: libclang with preprocessor callbacks, gcc -E with line markers, TypeChef, and SuperC; each parser emits variable_spans as tuples (blob_sha, file_path, span_start, span_end, directive_stack, parser_id, parser_version). A variable-span is defined as contiguous source text conditionally included/excluded by preprocessor directives; span boundary rules: start at first directive token (#if/#ifdef/#ifndef/#elif) and end at matching #endif; minimum span length = 3 tokens to avoid trivial spans; macro-expanded spans are labeled when expansion contains conditional directives. 3) Blob-cache and mapping: extract blobs via libgit2, annotate blobs when sha or language changes, and map commit hunks to span annotations using hunk-to-span overlap fraction. 4) Developer resolution: apply conservative matching rules (exact email, normalized email, corroborated name+pattern); record raw identities and merge decisions with confidence scores; store HMAC(project_salt, canonical_id) for public outputs. 5) Labeling and validation: run 100-label stratified pilot, then collect ≈400 positive variable-span labels plus ≈400 negatives using two-stage sampling (stratified random + targeted oversampling of likely-variable files). Two annotators per item, compute Cohen's kappa, adjudicate disagreements. 6) Metrics and VES: compute conventional metrics (commit_count, lines_changed, unique_files, tenure, co-edit centrality) and variable-aware components: proportion_variable_edits = variable_commits/total_commits; variable_lines_owned = sum(variable_lines_owned)/sum(total_lines_owned) per developer; recency_weighted_variable_activity = sum_{edits} w(t) * variable_lines where w(t)=exp(-λ * age_days) with λ pre-registered; feature_diversity = count(distinct mapped features); focusedness = Gini over variable edits per-file. 7) Weight learning: z-normalize components per project and learn weights via regularized logistic regression (L2) on survey/interview-validated expert labels; preserve expert-driven baseline weights. 8) Statistical models: pre-register mixed-effect models (expert_binary ~ conventional + variable_metrics + tenure + log(total_commits+1) + (1|project) + (1|developer)) for inference. 9) Provenance and calibration: record parser_id/version, mapping confidence, and per-mapping provenance; calibrate detection confidences per-project using isotonic regression and report ECE and Brier score. 10) Reproducibility: use containerized CI, Parquet schemas, W3C-PROV manifests, and DUA for restricted artifacts.</w:t>
      </w:r>
    </w:p>
    <w:p>
      <w:r>
        <w:t xml:space="preserve"> </w:t>
      </w:r>
    </w:p>
    <w:p>
      <w:pPr>
        <w:pStyle w:val="Heading2"/>
      </w:pPr>
      <w:r>
        <w:t>Experiments</w:t>
      </w:r>
    </w:p>
    <w:p>
      <w:r>
        <w:t>Datasets: 25 CSS repositories (including linux, ffmpeg, libreoffice) mined to full commit history; pilot labels: 100 stratified; validation labels: target ≈400 positive variable-span labels + ≈400 negatives; identity gold set: ≈500 raw identities. Parsers/Baselines: parsers = {libclang, gcc -E, TypeChef, SuperC}. Baselines for expert identification: (A) conventional metrics only, (B) variable-aware metrics only, (C) combined VES, (D) random ranking. Evaluation metrics: span detection: precision, recall, F1; parser agreement: parser-span-agreement (%) across tools; expertise classification: AUC, precision@k (k=5,10), nDCG@10, Spearman rank correlation; concentration: Gini coefficient, top-1/top-5 share; identity resolution: precision/recall/F1 for merges, false-merge and false-split rates; calibration: ECE, Brier score. Experimental setup: 1) Parser validation: compare each parser's spans to manual ground truth on pilot labels; report per-stratum (simple, nested, macro-expanded) performance. 2) Expertise prediction: temporal split (train on commits ≤T, test on &gt;T); train models and evaluate AUC and precision@k; require ΔAUC ≥0.05 improvement of combined VES over conventional baseline to claim practical gain. 3) Mixed-model inference: fit pre-registered glmer logistic model with fixed effects and random intercepts for project and developer; report fixed-effect coefficients, 95% CI, marginal/conditional R2, and ICC. 4) Ablations: (i) remove each variable-aware component from VES to measure marginal contribution; (ii) parser ablation: compute VES using only libclang, only gcc -E, and full-best parser outputs and measure rank stability (Spearman) and top-k overlap; (iii) identity-noise simulation: perturb merges at ±5/10/20% to measure impacts on Gini and top-k shares. 5) Fairness/subgroup tests: evaluate precision/recall and calibration for newcomers, domain-specialists, org-affiliated, and sporadic contributors. 6) Significance and multiple tests: primary outcomes are span detection F1 and ΔAUC; other tests apply Benjamini–Hochberg FDR at 5%. Repeats and seeds: all experiments use fixed RNG seeds and containerized environments; report wall-clock times and memory for each parser run.</w:t>
      </w:r>
    </w:p>
    <w:p>
      <w:r>
        <w:t xml:space="preserve"> </w:t>
      </w:r>
    </w:p>
    <w:p>
      <w:pPr>
        <w:pStyle w:val="Heading2"/>
      </w:pPr>
      <w:r>
        <w:t>Risk Factors And Limitations</w:t>
      </w:r>
    </w:p>
    <w:p>
      <w:r>
        <w:t>1) Parser failure modes: TypeChef/SuperC may not build on large repos or may be unavailable due to licensing; gcc -E loses conditional structure causing boundary drift. 2) Low prevalence of variable spans: when prevalence is very low, oversampling bias or insufficient positives may affect generalizability. 3) Labeler disagreement: ambiguous spans and macro-expanded code can yield low inter-annotator agreement; adjudication may be costly. 4) Identity-resolution errors: false-merge or false-split can distort concentration measures and VES rankings; propagation uncertainty may remain. 5) Confounding factors: developer roles (reviewer vs author), organizational contributions, and build-system access may confound expertise signals. 6) Compute and storage limits: full parsing across 25 large repos may require multi-terabyte storage and thousands of CPU-hours; fallback parsers change fidelity. 7) Privacy and re-identification: publishing top-k developers risks re-identification even with HMAC pseudonyms. 8) External validity: results may not generalize beyond preprocessor-based variability (e.g., feature toggles implemented differently) or to non-C/C++ ecosystems. 9) Measurement choices: definitions like minimum token length, recency decay λ, and feature-mapping heuristics influence results and may require sensitivity checks. 10) Multiple testing: many subgroup and ablation tests raise false-discovery risk despite FDR controls.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