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agentarc_eval</w:t>
      </w:r>
    </w:p>
    <w:p>
      <w:r>
        <w:t xml:space="preserve"> </w:t>
      </w:r>
    </w:p>
    <w:p>
      <w:pPr>
        <w:pStyle w:val="Heading2"/>
      </w:pPr>
      <w:r>
        <w:t>Title</w:t>
      </w:r>
    </w:p>
    <w:p>
      <w:r>
        <w:t>AgentArcEval: a scenario-driven evaluation method for architectures of foundation-model-based agents</w:t>
      </w:r>
    </w:p>
    <w:p>
      <w:r>
        <w:t xml:space="preserve"> </w:t>
      </w:r>
    </w:p>
    <w:p>
      <w:pPr>
        <w:pStyle w:val="Heading2"/>
      </w:pPr>
      <w:r>
        <w:t>Short Hypothesis</w:t>
      </w:r>
    </w:p>
    <w:p>
      <w:r>
        <w:t>When evaluated with AgentArcEval's scenario-driven, adaptive-adversary protocol and signed-trace instrumentation, foundation-model-based agents will reveal a higher detectable rate of architecture-level safety violations at N=1,000 runs than when evaluated with standard static i.i.d. test suites.</w:t>
      </w:r>
    </w:p>
    <w:p>
      <w:r>
        <w:t xml:space="preserve"> </w:t>
      </w:r>
    </w:p>
    <w:p>
      <w:pPr>
        <w:pStyle w:val="Heading2"/>
      </w:pPr>
      <w:r>
        <w:t>Related Work</w:t>
      </w:r>
    </w:p>
    <w:p>
      <w:r>
        <w:t>Existing evaluation approaches for large-language-model (LLM) agents typically use static benchmark suites, per-task metrics, or ad-hoc red-teaming. These methods do not consistently account for agent autonomy (agents taking multi-step actions), non-deterministic outputs from sampling decoders, continuous model/tool updates over time, or systematic rare-event discovery. Prior statistical work offers importance sampling and extreme-value models for rare events and hierarchical Bayesian pooling for low base-rate event-rate estimation, but these are rarely integrated into end-to-end agent evaluation pipelines. Adversarial-examples research produces attack strategies, but many published attacks are not packaged as reproducible, seedable oracles suitable for cross-architecture comparison. Privacy and audit practices (differential privacy, signed traces) exist independently but are not standard parts of agent evaluation. The limitations are: lack of end-to-end reproducibility, weak treatment of adaptivity and lifecycle evolution, inconsistent tail-risk estimation, and poor provenance measurement semantics.</w:t>
      </w:r>
    </w:p>
    <w:p>
      <w:r>
        <w:t xml:space="preserve"> </w:t>
      </w:r>
    </w:p>
    <w:p>
      <w:pPr>
        <w:pStyle w:val="Heading2"/>
      </w:pPr>
      <w:r>
        <w:t>Abstract</w:t>
      </w:r>
    </w:p>
    <w:p>
      <w:r>
        <w:t>Foundation-model-based agents combine language models, planners, and external tools into compound, autonomous systems that evolve over time. Current evaluations miss architecture-level failure modes that arise from autonomy, nondeterminism, adaptive attackers, and continuous updates. We propose AgentArcEval, a purpose-built evaluation method that uses a parameterized scenario catalogue, seedable adaptive adversaries, signed-redacted traces, and hierarchical Bayesian analysis to test agent architectures systematically. AgentArcEval defines reproducible manifests, a minimal instrumentation SDK for signed trace records, versioned attack-oracles, and a tiered sample-size strategy calibrated by power analysis. The main contribution is an integrated, reproducible evaluation pipeline that yields statistically calibrated event-rate estimates, tail-risk diagnostics, and provenance-precision metrics for agents. Expected outcomes are (1) more reliable detection of architecture-level safety violations at practical sample sizes, (2) reproducible adversary and trace artifacts for audits, and (3) operational guidance for continuous re-evaluation as agents evolve. The method aims to make architecture-aware safety and reliability assessment practical for research and engineering teams.</w:t>
      </w:r>
    </w:p>
    <w:p>
      <w:r>
        <w:t xml:space="preserve"> </w:t>
      </w:r>
    </w:p>
    <w:p>
      <w:pPr>
        <w:pStyle w:val="Heading2"/>
      </w:pPr>
      <w:r>
        <w:t>Methodology</w:t>
      </w:r>
    </w:p>
    <w:p>
      <w:r>
        <w:t>1) Scenario catalogue and manifests: build a catalogue of ~30 general scenarios (each parameterized for difficulty and fidelity). A manifest is a machine-readable file listing scenario_id, acceptance thresholds, attacker_profile (observability, budget, rounds), seeds, container image digests, required instrumentation fields, and CI gating rules. 2) Instrumentation SDK and signed traces: implement a small Python SDK that emits newline-delimited JSON signed records. Each record includes run_id, scenario_id, timestamp, input_hash/redacted_flag, output_hash/redacted_flag, seed, model_version, container_digest, device_meta, provenance_token, and signature. 'Signed' means cryptographically verifiable signatures; 'redacted' means sensitive text replaced or hashed. 3) Reproducible attack-oracles: package attack strategies as versioned, seedable containers with a stable API run(input_corpus, score_fn, budget, seed, strategy_params). Attack-oracles log their actions and seeds so results can be replayed. 4) Sample-size and power calibration: provide power analysis functions for binomial/two-proportion tests to compute required N for target detectable deltas and desired power; define tiers (exploratory N≈100, standard N≈1,000, high-fidelity N≥5,000). 5) Statistical modeling: pool per-scenario event rates with a hierarchical Beta–Binomial model (Beta prior for each scenario, pooled hyperprior). Provide prior-predictive checks and compare priors such as Beta(1,9) vs alternatives. Use Clopper–Pearson exact intervals for binary counts, PSIS diagnostics for importance sampling, and generalized Pareto fits for heavy tails when enough exceedances exist. 6) Adaptive-adversary protocol: formalize rounds, attacker observability levels (black/gray/white), budget and update cadence, and require seedability and attacker manifest fields. 7) Nondeterminism protocol: run seed sweeps (≥3 seeds), temperature/decode sweeps (e.g., temperatures 0, 0.3, 0.7, 1.0; greedy/beam/sampling), and record hardware/software metadata. Define 'deterministic decode' as fixed seeds with sampling decoders disabled or using deterministic decoding modes; require deterministic runs for critical CI gates. 8) Privacy and audit: implement inline redaction and salted hashing for persisted traces, encrypted reversible vaults for auditors, and provide DP routines for publishing aggregates with configurable epsilon/delta. 9) Reproducibility runbook: produce step-by-step scripts that pin container digests, dataset commits, seeds, and SDK versions so auditors can re-run failing traces.</w:t>
      </w:r>
    </w:p>
    <w:p>
      <w:r>
        <w:t xml:space="preserve"> </w:t>
      </w:r>
    </w:p>
    <w:p>
      <w:pPr>
        <w:pStyle w:val="Heading2"/>
      </w:pPr>
      <w:r>
        <w:t>Experiments</w:t>
      </w:r>
    </w:p>
    <w:p>
      <w:r>
        <w:t>1) Datasets and scenarios: use the 30-scenario catalogue with three fidelity tiers: synthetic (sandbox), hybrid (limited API stubs), and real-world (live tools). For pilot runs, select two baseline agent architectures: planner+executor and tool-centric agent. Use a fixed input corpus per scenario with seeds and dataset commits recorded. 2) Baselines: a) standard static i.i.d. evaluation suite (random draws from input corpus, no adversary), b) static adversary (non-adaptive perturbations), c) AgentArcEval without adaptive adversary (ablation), and d) AgentArcEval full (adaptive adversary + signed traces + hierarchical pooling). 3) Sample sizes: run each baseline at N=100, N=1,000, and N=5,000 where feasible. Use three independent RNG seeds per condition and record hardware metadata. 4) Evaluation metrics: primary: binary safety-violation event-rate per 1,000 runs and Clopper–Pearson 95% CI. Secondary: provenance precision and recall (provenance precision = correct provenance attributions / total attributions), queries-to-failure distribution, exploit reproducibility rate across seeds/versions, PSIS k diagnostic for importance sampling, ESS and R-hat for Bayesian fits, and minimal detectable effect size from power analysis. 5) Ablation studies: A1 remove adaptive adversary to measure its effect on detected violations; A2 remove importance sampling/adversarial focusing to measure tail-estimation degradation; A3 change Beta prior (Beta(1,9) vs Beta(2,8) vs uniform) to test sensitivity. 6) Reproducibility checks: for each reported failure, provide the signed trace, container digest, seed, and a re-run script; independent re-runs must reproduce the violation in ≥80% of trials to count as reproducible exploit. 7) Statistical tests: compare detection rates between AgentArcEval full and static i.i.d. using two-proportion z-test or exact binomial test where counts are low; report p-values, power, and effect sizes. 8) Logging and DP: publish aggregate metrics under DP settings ε ∈ {0.5,1.0,2.0} and produce utility–privacy curves (metric accuracy vs ε).</w:t>
      </w:r>
    </w:p>
    <w:p>
      <w:r>
        <w:t xml:space="preserve"> </w:t>
      </w:r>
    </w:p>
    <w:p>
      <w:pPr>
        <w:pStyle w:val="Heading2"/>
      </w:pPr>
      <w:r>
        <w:t>Risk Factors And Limitations</w:t>
      </w:r>
    </w:p>
    <w:p>
      <w:r>
        <w:t>1) Technical failure modes: provenance tokens may have false positives or false negatives, causing incorrect attribution; attack-oracles might overfit to specific architectures and not generalize. 2) Evaluation bias: scenario catalogue may not cover real-world edge cases or population subgroups, producing blind spots. 3) Statistical limits: rare-event estimation is noisy; GPD tail fits require many exceedances (rule-of-thumb 50–100) and can be unstable with small samples. 4) Compute and cost: high-fidelity tiers (N≥5,000) require substantial GPU time and storage, limiting repeatability for low-resource teams. 5) Nondeterminism: sampling decoders and hardware nondeterminism can cause variability that complicates CI gating and may produce non-reproducible failures. 6) Adversary realism: simulated adaptive adversaries may not capture intelligent real-world attackers, limiting external validity. 7) Privacy tradeoffs: applying differential privacy reduces utility of published metrics; choosing ε involves policy trade-offs. 8) Legal and ethical constraints: some red-team scenarios or stored traces could expose sensitive content and may be restricted by policy or law. 9) Generalization: results calibrated on selected baselines and scenarios may not transfer to novel agent architectures without re-calibration.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