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Research Pipeline</w:t>
      </w:r>
    </w:p>
    <w:p>
      <w:r>
        <w:t xml:space="preserve"> </w:t>
      </w:r>
    </w:p>
    <w:p>
      <w:pPr>
        <w:pStyle w:val="Heading2"/>
      </w:pPr>
      <w:r>
        <w:t>Name</w:t>
      </w:r>
    </w:p>
    <w:p>
      <w:r>
        <w:t>refa_devsecops_longitudinal</w:t>
      </w:r>
    </w:p>
    <w:p>
      <w:r>
        <w:t xml:space="preserve"> </w:t>
      </w:r>
    </w:p>
    <w:p>
      <w:pPr>
        <w:pStyle w:val="Heading2"/>
      </w:pPr>
      <w:r>
        <w:t>Title</w:t>
      </w:r>
    </w:p>
    <w:p>
      <w:r>
        <w:t>A prescriptive longitudinal evaluation of REFA: adapting DevOps to continuous security compliance with IEC 62443-4-1</w:t>
      </w:r>
    </w:p>
    <w:p>
      <w:r>
        <w:t xml:space="preserve"> </w:t>
      </w:r>
    </w:p>
    <w:p>
      <w:pPr>
        <w:pStyle w:val="Heading2"/>
      </w:pPr>
      <w:r>
        <w:t>Short Hypothesis</w:t>
      </w:r>
    </w:p>
    <w:p>
      <w:r>
        <w:t>Deploying the REFA lifecycle (clause→artifact mappings + tooling + role-tailored training) reduces per-sprint compliance-drift rate by at least 4 percentage points compared to baseline within six months.</w:t>
      </w:r>
    </w:p>
    <w:p>
      <w:r>
        <w:t xml:space="preserve"> </w:t>
      </w:r>
    </w:p>
    <w:p>
      <w:pPr>
        <w:pStyle w:val="Heading2"/>
      </w:pPr>
      <w:r>
        <w:t>Related Work</w:t>
      </w:r>
    </w:p>
    <w:p>
      <w:r>
        <w:t>Existing work integrates security into DevOps via DevSecOps, policy-as-code, SBOMs (software bill of materials), and provenance systems (e.g., in-toto, Sigstore). Prior approaches provide point solutions: automated scans, CI gates, or training, but few produce an audit-grade clause→artifact traceability aligned to a security standard, few evaluate longitudinal effects across many teams, and few combine human-factors interventions with prespecified causal inference. Limitations include: (1) lack of prescriptive mappings from normative clauses to enforceable pipeline artifacts; (2) reliance on single-tool stacks that reduce generality; (3) short-term or cross-sectional evaluations that cannot detect drift or learning; (4) limited handling of measurement tampering and evidence chain-of-custody; and (5) scarce evidence on how training and role-based supports mediate measurable compliance outcomes. These gaps leave open whether an integrated lifecycle such as REFA yields sustained, audit-grade compliance improvements in operational teams.</w:t>
      </w:r>
    </w:p>
    <w:p>
      <w:r>
        <w:t xml:space="preserve"> </w:t>
      </w:r>
    </w:p>
    <w:p>
      <w:pPr>
        <w:pStyle w:val="Heading2"/>
      </w:pPr>
      <w:r>
        <w:t>Abstract</w:t>
      </w:r>
    </w:p>
    <w:p>
      <w:r>
        <w:t>We study whether REFA, a prescriptive DevOps lifecycle mapped to IEC 62443-4-1, produces sustained reductions in security nonconformance during DevOps transformation. REFA combines clause→artifact mappings, minimally invasive CI/CD templates, policy-as-code checks, signed provenance, and role-tailored microlearning to create continuous, auditable evidence of compliance. We evaluate REFA in a stepped-wedge cluster-randomized rollout across pilot teams, measuring compliance-drift rate, time-to-compliance, lead-time, evidence completeness, and severity-weighted audit scores. The main contribution is an end-to-end, standards-aligned lifecycle plus a preregistered longitudinal evaluation that links tooling, telemetry, and human-factors interventions to causal compliance outcomes. Expected outcomes are a measurable reduction in compliance drift and improved audit evidence without materially increasing lead time. Results will clarify which REFA components (tooling, enforcement level, training) drive effects and produce reproducible artifacts: clause→artifact matrices, pipeline templates, metric schemas, and statistical analysis code to support adoption in critical-infrastructure contexts.</w:t>
      </w:r>
    </w:p>
    <w:p>
      <w:r>
        <w:t xml:space="preserve"> </w:t>
      </w:r>
    </w:p>
    <w:p>
      <w:pPr>
        <w:pStyle w:val="Heading2"/>
      </w:pPr>
      <w:r>
        <w:t>Methodology</w:t>
      </w:r>
    </w:p>
    <w:p>
      <w:r>
        <w:t>1) Clause→artifact mapping: produce a spreadsheet mapping each IEC 62443-4-1 clause to one or more enforceable artifacts (examples: SPDX SBOM files, signed container images, in-toto build attestations, IaC manifests, test reports). 2) Minimal tooling templates: supply CI/CD job templates that run SBOM generation (syft), vulnerability scans (trivy), policy-as-code (OPA/rego), and produce signed attestations (Cosign/Sigstore). SBOM = software bill of materials, a file that lists components. 3) Evidence store &amp; metadata: store artifacts with metadata (artifact_id, content_hash, signer_id, created_at, storage_path). 4) Human-factors interventions: deliver 6 short role-tailored modules (developer, platform, product owner, security champion) and 90-min coached labs. 5) Gate rollout policy: phased enforcement per team: report-only → advisory → hard-block; emergency bypass requires documented attestation. 6) Telemetry and schemas: canonical JSON/SQL schemas for compliance_drift, time_to_compliance, evidence_completeness, gate_review. 7) Preregister analysis: multilevel models (timepoints nested in teams nested in orgs), fixed effects (treatment, time, treatment×time), covariates (team size, product criticality, baseline compliance, CI/CD platform). 8) Reproducibility: containerized analysis environment with seeded RNGs and pinned dependencies.</w:t>
      </w:r>
    </w:p>
    <w:p>
      <w:r>
        <w:t xml:space="preserve"> </w:t>
      </w:r>
    </w:p>
    <w:p>
      <w:pPr>
        <w:pStyle w:val="Heading2"/>
      </w:pPr>
      <w:r>
        <w:t>Experiments</w:t>
      </w:r>
    </w:p>
    <w:p>
      <w:r>
        <w:t>Design: stepped-wedge cluster-randomized trial with team as the cluster. Randomize order of rollout across 24 teams stratified by product criticality (high/medium/low) and baseline compliance (above/below median). Baseline period: 8 weeks; rollout window: 4 weeks per block; follow-up: 24 weeks. Arms and ablation: all teams receive REFA eventually; randomly assign half of rollout blocks to REFA-full (tooling + enforced advisory gates + full training) and half to REFA-lite (tooling + report-only gates + minimal training) to test component effects. Micro-randomization: within teams, randomly vary nudge timing and coaching intensity for proximal causal estimates. Datasets: CI/CD telemetry (commit/build/test/deploy timestamps), policy evaluation logs, SBOMs, signed attestations, issue-tracker remediation records, audit findings, and structured interview transcripts. Baselines: pre-intervention telemetry and concurrent control periods from teams not yet rolled out. Evaluation metrics: primary = compliance_drift_rate (fraction of artifacts failing mandatory policies per sprint); secondary = time_to_compliance (hours median &amp; 90th percentile), mean lead time to change (non-inferiority margin +10%), severity-weighted audit score (0–100), evidence_completeness fraction, gate_false_positive_rate. Statistical analysis: primary analysis via generalized linear mixed models (GLMM) for binomial drift rates with random intercepts for team and org and random slopes for time; fixed effects include treatment, time, treatment×time and prespecified covariates. Time-to-compliance analyzed with Cox proportional hazards models with frailty terms for team. Use difference-in-differences (DiD) as robustness, and interrupted time series (ITS) for single-team rollouts. Multiple testing: hierarchical testing for primary then secondary; other outcomes controlled by Benjamini–Hochberg FDR. Missing data: prespecify multiple imputation (MICE) for MAR and MNAR sensitivity via pattern-mixture models; unresolved nonconformities treated as right-censored in survival models. Power: target 24 teams for ~80% power to detect standardized effect d≈0.4 on primary outcome with ~20 timepoints per team; run Monte Carlo simulations (≥2000 replicates) to finalize. Reporting: publish preregistration, analysis code, container, and metric schemas. Comparison/ablation: compare REFA-full vs REFA-lite and pre/post within teams; sensitivity analyses include automated-only vs adjudicated outcomes and alternate autocorrelation structures.</w:t>
      </w:r>
    </w:p>
    <w:p>
      <w:r>
        <w:t xml:space="preserve"> </w:t>
      </w:r>
    </w:p>
    <w:p>
      <w:pPr>
        <w:pStyle w:val="Heading2"/>
      </w:pPr>
      <w:r>
        <w:t>Risk Factors And Limitations</w:t>
      </w:r>
    </w:p>
    <w:p>
      <w:r>
        <w:t>Technical failure modes: broken instrumentation or missing telemetry that reduces measurement coverage; pipeline or signing tool incompatibilities across CI/CD platforms. Data and evaluation biases: selection bias if teams volunteering differ from average teams; contamination when practices spread early to control teams; adjudication bias in audit scoring if reviewers are not blinded. Measurement tampering risks: teams or insiders could alter attestations or logs; signed provenance reduces but does not eliminate tampering risk. Scalability limits: evidence storage and signature verification scale costs as artifact volume grows; real-time processing of high-volume CI pipelines may need significant compute. Compute limitations: long-term retention and processing of SBOMs, vulnerability scans, and telemetry require storage and CPU budget. Limits to generalization: pilots in specific sectors or toolchains may not generalize to different organizational sizes, regulatory regimes, or CI/CD platforms. Human factors limits: training uptake may vary, and behavioral change may be transient. Statistical limits: clustered and autocorrelated data reduce effective sample size; observed effect sizes may be smaller than targeted d≈0.4. Legal/privacy constraints: cross-org telemetry sharing may be restricted by contracts or law, limiting pooled analyses.</w:t>
      </w:r>
    </w:p>
    <w:p>
      <w:r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