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frog_heart_chaos_dl</w:t>
      </w:r>
    </w:p>
    <w:p>
      <w:r>
        <w:t xml:space="preserve"> </w:t>
      </w:r>
    </w:p>
    <w:p>
      <w:pPr>
        <w:pStyle w:val="Heading2"/>
      </w:pPr>
      <w:r>
        <w:t>Title</w:t>
      </w:r>
    </w:p>
    <w:p>
      <w:r>
        <w:t>Model‑guided deep learning and selection strategies for detecting chaotic dynamics in short noisy frog heart time series</w:t>
      </w:r>
    </w:p>
    <w:p>
      <w:r>
        <w:t xml:space="preserve"> </w:t>
      </w:r>
    </w:p>
    <w:p>
      <w:pPr>
        <w:pStyle w:val="Heading2"/>
      </w:pPr>
      <w:r>
        <w:t>Short Hypothesis</w:t>
      </w:r>
    </w:p>
    <w:p>
      <w:r>
        <w:t>A deep learning classifier trained with a model‑guided selection strategy that uses simulated cardiac dynamical priors and nonparametric screening will detect likely chaotic segments in short, noisy frog heart recordings with higher true positive rate (at fixed low false positive rate) than conventional chaos metrics or unguided deep learning.</w:t>
      </w:r>
    </w:p>
    <w:p>
      <w:r>
        <w:t xml:space="preserve"> </w:t>
      </w:r>
    </w:p>
    <w:p>
      <w:pPr>
        <w:pStyle w:val="Heading2"/>
      </w:pPr>
      <w:r>
        <w:t>Related Work</w:t>
      </w:r>
    </w:p>
    <w:p>
      <w:r>
        <w:t>Existing approaches for detecting chaos in physiological time series fall into two classes: (1) classical nonlinear dynamics methods (largest Lyapunov exponent estimation, surrogate testing, recurrence quantification analysis, permutation/sample entropy) and (2) machine learning methods that learn discriminative patterns from data. Classical methods provide interpretable evidence but require long, clean, stationary series and are biased or unstable on short noisy recordings. Surrogate tests control simple null hypotheses but are sensitive to nonstationarity and surrogate construction choices. Deep learning can learn features from raw signals and cope with noise, but standard DL trained purely on limited experimental data overfits and lacks calibrated uncertainty when the training domain mismatches the experimental regime. Prior work combining simulations with ML is limited in scope and often omits rigorous calibration, multi‑metric aggregation, and active selection that prioritizes informative real data for fine‑tuning. Key unresolved issues are instability of LLE on very short series, multiple‑testing across many metrics/surrogates, robustness of feature covariance estimates for Mahalanobis screening on small samples, and validated transfer from simulated to real biological recordings.</w:t>
      </w:r>
    </w:p>
    <w:p>
      <w:r>
        <w:t xml:space="preserve"> </w:t>
      </w:r>
    </w:p>
    <w:p>
      <w:pPr>
        <w:pStyle w:val="Heading2"/>
      </w:pPr>
      <w:r>
        <w:t>Abstract</w:t>
      </w:r>
    </w:p>
    <w:p>
      <w:r>
        <w:t>We propose a reproducible pipeline that combines deep learning, model‑based selection strategies, and calibrated nonlinear‑dynamics tests to detect chaotic cardiac dynamics in short, noisy frog heart recordings. The approach builds a large simulation bank from compact cardiac models (forced FitzHugh–Nagumo, forced Van der Pol, reduced Morris–Lecar/Hindmarsh–Rose, and a compact sinoatrial node model), uses these simulations to pretrain and calibrate dynamical metrics and Mahalanobis/MMD selection thresholds, and then applies an active‑learning acquisition loop to prioritize real segments for annotation and fine‑tuning. Nonparametric surrogates (IAAFT and complements) and bootstrap confidence intervals on estimators are used as preregistered decision evidence. The main contribution is the integration of model‑guided selection with a dynamics‑aware DL curriculum and a preregistered multi‑evidence rule that enables robust chaos claims on windows with few inter‑beat intervals. Expected outcomes are improved detection sensitivity at low false positive rates, calibrated predictive uncertainty, and reproducible decision workflows for short noisy biological time series.</w:t>
      </w:r>
    </w:p>
    <w:p>
      <w:r>
        <w:t xml:space="preserve"> </w:t>
      </w:r>
    </w:p>
    <w:p>
      <w:pPr>
        <w:pStyle w:val="Heading2"/>
      </w:pPr>
      <w:r>
        <w:t>Methodology</w:t>
      </w:r>
    </w:p>
    <w:p>
      <w:r>
        <w:t>1) Simulation bank: generate large simulated ensembles from four compact cardiac model families: forced FitzHugh–Nagumo (FHN), forced Van der Pol (vdP), reduced Morris–Lecar/Hindmarsh–Rose (ML/HR), and a compact sinoatrial (SAN) pacemaker model. Use Latin‑hypercube sampling across 3–6 bifurcation parameters per family. Simulate at high sampling rate, then add white and colored noise (1/f with exponent α in [0,1]) and nonstationary perturbations (drift, steps, ramps). Store traces with SNRs spanning −5 to 20 dB.</w:t>
        <w:br/>
        <w:br/>
        <w:t>2) Preprocessing and beat segmentation: detect beats to produce inter‑beat interval (IBI) time series and beat‑aligned windows. Log beat‑detection confidence. Enforce minimal window sizes: tentative label if ≥10 IBIs; definitive if ≥15 IBIs. Apply stationarity checks (KPSS, ADF) on sliding windows; if nonstationary apply robust spline detrending or differencing and retest.</w:t>
        <w:br/>
        <w:br/>
        <w:t>3) Dynamical metrics and surrogates: compute a panel of metrics per window: Rosenstein LLE (sweeping embedding m∈{3,4,5,6} and delays τ from autocorrelation or mutual information), recurrence quantification analysis (DET, LAM), correlation dimension proxy, permutation/sample entropy, and short‑series nonlinear predictability. Generate IAAFT surrogates (primary) with 50 iterations and N=199 surrogates per family; include phase‑randomized and amplitude‑adjusted surrogates as complements. Bootstrap metrics (Nboot=200) to obtain CIs.</w:t>
        <w:br/>
        <w:br/>
        <w:t>4) Feature construction and Mahalanobis/MMD screening: build a standardized dynamical feature vector combining metrics at defined time scales. Standardize features using robust estimators (median and MAD) and compute covariance using shrinkage (Ledoit–Wolf) and robust MCD for comparison. Compute Mahalanobis distance and run nonparametric two‑sample tests (MMD or entropic OT) with Nperm=199. Preregister decision: accept model‑match if Mahalanobis ≤ χ2_d(0.95) (d = chosen feature dimensionality to be ROC‑tuned) OR MMD permutation p ≤ 0.01.</w:t>
        <w:br/>
        <w:br/>
        <w:t>5) Deep learning curriculum and models: pretrain networks on clean simulations, then noisy and domain‑randomized simulations, finally fine‑tune on high‑confidence real segments weighted by model‑similarity. Candidate input representations: IBI sequences (time series of inter‑beat intervals), beat‑aligned waveform snippets, and short time‑frequency representations. Architectures: 1D ResNet/TCN (8–16 layers, dilations), optional Transformer encoder branch, and a neural‑ODE latent branch for dynamics consistency. Losses: classification/regression loss, auxiliary heads predicting LLE/entropy with heteroscedastic uncertainty, and distribution matching (MMD/Wasserstein) between simulated and real latent distributions.</w:t>
        <w:br/>
        <w:br/>
        <w:t>6) Active selection and annotation: compute acquisition score S = α·U + β·D + γ·M + η·Q where U is model uncertainty (ensemble BALD/MC‑dropout), D is diversity in dynamical‑feature space, M is model‑similarity (negative Mahalanobis), and Q is preprocessing quality. Default weights α=0.5, β=0.3, γ=0.15, η=0.05, to be calibrated. Select batches (50–200) for human annotation. Require two annotators per flagged segment and report Cohen’s kappa.</w:t>
        <w:br/>
        <w:br/>
        <w:t>7) Preregistration and calibration: store all seeds, Docker containers and DVC manifests. Calibrate Mahalanobis chi‑square cutoffs and nonparametric p‑values via ROC/PR on held‑out simulated noisy sets and adversarial surrogates. Save bias/variance maps for each estimator.</w:t>
        <w:br/>
        <w:br/>
        <w:t>Definitions: Lyapunov exponent (LLE) measures average exponential divergence of nearby trajectories; recurrence quantification analysis (RQA) analyzes times when system states repeat; Mahalanobis distance measures distance from a distribution accounting for covariance; MMD (maximum mean discrepancy) is a nonparametric test comparing distributions.</w:t>
      </w:r>
    </w:p>
    <w:p>
      <w:r>
        <w:t xml:space="preserve"> </w:t>
      </w:r>
    </w:p>
    <w:p>
      <w:pPr>
        <w:pStyle w:val="Heading2"/>
      </w:pPr>
      <w:r>
        <w:t>Experiments</w:t>
      </w:r>
    </w:p>
    <w:p>
      <w:r>
        <w:t>Datasets: 1) Simulation bank: 4 model families (FHN, vdP, ML/HR, SAN), 5k–20k traces per family across parameter priors, SNRs −5,0,5,10,20 dB, and nonstationarity modes; each trace downsampled to recording rates. 2) Real pilot: ex‑vivo frog heart cohort N=5 hearts, baseline and perturbation runs (30–60 min baseline + paced/drug runs), segmented into overlapping windows with recorded metadata.</w:t>
        <w:br/>
        <w:br/>
        <w:t>Baselines: A) Classical metric pipeline: Rosenstein LLE + IAAFT surrogate decision; B) RQA+surrogate ensemble; C) Unguided DL trained on raw real data (no simulation pretraining, no selection); D) DL pretrained on sims but using random selection of real samples for fine‑tuning.</w:t>
        <w:br/>
        <w:br/>
        <w:t>Evaluations: Primary metrics: area under precision‑recall curve (AUPRC), ROC AUC, true positive rate at FPR ≤ 0.1 (TPR@FPR0.1), and calibration error (expected calibration error, ECE). Secondary: classifier entropy, coverage, Cohen’s kappa for annotations, and estimator CI coverage. Report bias/variance maps and CI coverage for LLE and other metrics.</w:t>
        <w:br/>
        <w:br/>
        <w:t>Experimental setup: split simulation bank into train/validation/holdout regimes (e.g., 70/15/15) ensuring parameter ranges held out for transfer tests. Pretrain DL on sim‑train, validate on sim‑val. Hold out 20% of simulated regimes as adversarial tests. For real data, perform leave‑one‑animal‑out cross‑validation for transfer evaluation; fine‑tune on all but one heart and test on the held‑out heart.</w:t>
        <w:br/>
        <w:br/>
        <w:t>Ablations (minimum): 1) Selection comparison: model‑guided acquisition vs random acquisition (compare AUPRC and TPR@FPR0.1 after equal annotation budget). 2) Thresholding: Mahalanobis alone vs Mahalanobis+MMD/OT vs MMD/OT alone (compare detection metrics and false discovery rates). 3) Short‑series indicators: use LLE vs RQA/entropy/predictability as primary evidence on windows with 10–30 IBIs (compare sensitivity and CI stability). 4) Beat‑error augmentation: DL trained with vs without beat‑detection augmentations (missed/false beats 0–20%) and measure robustness (drop in AUPRC). 5) Covariance estimator sensitivity: Mahalanobis with Ledoit–Wolf vs MCD vs sample covariance (compare ROC stability).</w:t>
        <w:br/>
        <w:br/>
        <w:t>Procedures: surrogates N=199, IAAFT iterations=50, bootstrap Nboot=200. DL prototyping: single GPU runs 24–72 GPU‑hours per architecture, ensembles 8–16 models, MC‑dropout N=30 for uncertainty. Early stopping patience=10 epochs, batch size 64, learning rate sweep 1e‑4 to 1e‑2. Statistical control: Benjamini–Hochberg FDR q=0.05 for multiple metric testing across windows.</w:t>
        <w:br/>
        <w:br/>
        <w:t>Success criteria for main hypothesis: after a fixed annotation budget (e.g., 1,000 annotated windows), model‑guided DL must achieve higher TPR@FPR0.1 and higher AUPRC than both unguided DL and best classical pipeline, with significance (ΔAUPRC with 95% bootstrap CI not crossing zero) and controlled FDR.</w:t>
      </w:r>
    </w:p>
    <w:p>
      <w:r>
        <w:t xml:space="preserve"> </w:t>
      </w:r>
    </w:p>
    <w:p>
      <w:pPr>
        <w:pStyle w:val="Heading2"/>
      </w:pPr>
      <w:r>
        <w:t>Risk Factors And Limitations</w:t>
      </w:r>
    </w:p>
    <w:p>
      <w:r>
        <w:t>1) LLE instability on short series: Rosenstein LLE is biased and high variance for windows with 10–15 IBIs; derived thresholds may be unreliable. 2) Surrogate sensitivity to nonstationarity: surrogate tests (IAAFT) may give misleading rejections if surrogates do not preserve trends; results depend on surrogate family choices. 3) Small sample covariance fragility: Mahalanobis screening can fail if covariance is poorly estimated on small feature sets; shrinkage or robust estimators may still be unstable. 4) Simulation‑to‑real gap: simulated priors may not capture all physiological variability (sensor noise, electrode drift, ectopy rates), causing miscalibrated selection and DL overconfidence. 5) Annotation noise and limited labels: human annotator disagreement or limited high‑confidence real examples can limit DL fine‑tuning and calibration. 6) Active selection sensitivity: acquisition score weights (α,β,γ,η) may yield suboptimal batches; sensitivity to weight choice may require extensive simulation calibration. 7) Computational cost: building large simulation banks, running 199 surrogates and bootstrap tests, and DL ensemble training require substantial CPU/GPU resources. 8) Multiple testing and aggregation: aggregating many metrics and surrogate families increases false discovery risk if not properly controlled. 9) Generalization limits: methods tuned to frog heart ex‑vivo data may not generalize to other species or recording modalities without re‑calibration. 10) Ethical and experimental constraints: limited number of hearts and preparation viability may constrain the volume and diversity of real data available for transfer testing.</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