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w:t>
      </w:r>
    </w:p>
    <w:p>
      <w:r>
        <w:t xml:space="preserve"> </w:t>
      </w:r>
    </w:p>
    <w:p>
      <w:pPr>
        <w:pStyle w:val="Heading2"/>
      </w:pPr>
      <w:r>
        <w:t>Title</w:t>
      </w:r>
    </w:p>
    <w:p>
      <w:r>
        <w:t>MOMA-AC: a preference-conditioned multi-headed actor-critic framework for continuous multi-objective multi-agent reinforcement learning</w:t>
      </w:r>
    </w:p>
    <w:p>
      <w:r>
        <w:t xml:space="preserve"> </w:t>
      </w:r>
    </w:p>
    <w:p>
      <w:pPr>
        <w:pStyle w:val="Heading2"/>
      </w:pPr>
      <w:r>
        <w:t>Short Hypothesis</w:t>
      </w:r>
    </w:p>
    <w:p>
      <w:r>
        <w:t>A single neural policy per agent implemented as a multi-headed actor conditioned on objective preference vectors via FiLM modulation and a learned soft gating, and trained with a centralized critic plus stratified preference replay, will encode Pareto-optimal trade-offs across continuous preferences and achieve higher hypervolume and lower per-preference regret than (a) single-headed preference-conditioned policies and (b) ensembles of independently trained scalarized policies.</w:t>
      </w:r>
    </w:p>
    <w:p>
      <w:r>
        <w:t xml:space="preserve"> </w:t>
      </w:r>
    </w:p>
    <w:p>
      <w:pPr>
        <w:pStyle w:val="Heading2"/>
      </w:pPr>
      <w:r>
        <w:t>Related Work</w:t>
      </w:r>
    </w:p>
    <w:p>
      <w:r>
        <w:t>Existing work on multi-objective reinforcement learning (MORL) and multi-agent RL (MARL) uses either scalarization (train many single-objective policies) or preference-conditioned policies that map a preference vector to actions. Actor-critic methods (e.g., DDPG/TD3 variants) and centralized critics under CTDE are common for continuous control. Multi-headed or multi-policy approaches and population methods attempt to cover Pareto fronts by training multiple specialized policies. Limitations of prior approaches include: (1) poor coverage when the Pareto front is disconnected or multimodal because continuous single-headed mappings cannot represent disconnected optimal actions, (2) high compute and storage cost for ensembles or per-scalarization policies, (3) sample inefficiency and non-uniform learning across preference space due to naive replay, and (4) scaling difficulties for centralized critics as agent count grows. Many prior methods also lack systematic replay strategies that store preferences and diagnostics to avoid preference imbalance.</w:t>
      </w:r>
    </w:p>
    <w:p>
      <w:r>
        <w:t xml:space="preserve"> </w:t>
      </w:r>
    </w:p>
    <w:p>
      <w:pPr>
        <w:pStyle w:val="Heading2"/>
      </w:pPr>
      <w:r>
        <w:t>Abstract</w:t>
      </w:r>
    </w:p>
    <w:p>
      <w:r>
        <w:t>We propose MOMA-AC, a preference-conditioned actor–critic framework for continuous-state, continuous-action multi-objective multi-agent reinforcement learning. MOMA-AC uses a multi-headed actor per agent: a shared representation is modulated by preference vectors using FiLM layers (feature-wise linear modulation) and routed by a learned soft gating network that mixes H heads; a centralized critic conditions on stored preferences and joint observations to provide stable value estimates. Replay buffers store the preference with each transition and use stratified sampling across simplex strata with optional prioritized experience replay and clipped importance weights to avoid preference imbalance. We instantiate MOMA-AC with TD3 and DDPG variants and provide three critic families to study scaling. The main contribution is a single-policy-per-agent design that can encode a Pareto front of trade-offs and handle multimodal/disconnected optimal regions within one neural parameterization. We expect MOMA-AC to improve Pareto coverage (hypervolume) and per-preference performance compared to single-headed preference-conditioned policies and ensembles while enabling reproducible evaluation across synthetic and continuous-control testbeds.</w:t>
      </w:r>
    </w:p>
    <w:p>
      <w:r>
        <w:t xml:space="preserve"> </w:t>
      </w:r>
    </w:p>
    <w:p>
      <w:pPr>
        <w:pStyle w:val="Heading2"/>
      </w:pPr>
      <w:r>
        <w:t>Methodology</w:t>
      </w:r>
    </w:p>
    <w:p>
      <w:r>
        <w:t>Architecture: build each agent policy as a multi-headed actor with a shared trunk network that produces a common feature vector. Inject the preference vector w into the trunk via FiLM layers: FiLM scales and shifts each feature (FiLM means Feature-wise Linear Modulation: output = scale(w) * feature + shift(w)). Also concatenate w into each head's input so heads can specialize. Heads are small multilayer perceptrons (MLPs) that output continuous actions. A gating network takes the shared features and w and outputs softmax weights over H heads; the final action is the weighted sum of head actions (mixture-of-experts). For near-discrete selection at later training or evaluation, use Gumbel-Softmax (a differentiable approximation to sampling from a categorical distribution) with an annealed temperature. Critic: implement centralized critics that take joint observations and joint actions and condition on w. Provide three critic families: (A) full centralized vector critic (concatenate inputs), (B) attention-factorized critic (per-agent encoders + cross-agent attention), and (C) value-decomposition (per-agent critics + mixer network). Replay: store (obs, action, reward_vector, next_obs, done, w, env_seed). Partition the simplex into K strata (e.g., K=20) and sample minibatches stratified across bins to avoid w-imbalance. Optionally apply prioritized experience replay (PER) within strata; compute importance weights ρ = desired_prob / actual_draw_prob, normalize per-batch and clip (W_clip) to stabilize gradients. Training: use TD3/DDPG style updates with twin critics (TD3), Polyak target updates, actor update delay, and Gaussian action noise for exploration. Diagnostics: log per-stratum TD-error, sampled-w histograms, gating weights, head-usage frequencies, Q_pred vs empirical returns, and hypervolume over held-out preference grid.</w:t>
      </w:r>
    </w:p>
    <w:p>
      <w:r>
        <w:t xml:space="preserve"> </w:t>
      </w:r>
    </w:p>
    <w:p>
      <w:pPr>
        <w:pStyle w:val="Heading2"/>
      </w:pPr>
      <w:r>
        <w:t>Experiments</w:t>
      </w:r>
    </w:p>
    <w:p>
      <w:r>
        <w:t>Datasets / Environments: (1) Analytic 1D multimodal control: continuous action a∈R with parameterized K-mode reward surfaces (closed-form Pareto loci); (2) Multi-corridor continuous navigation: K disjoint corridors to a goal producing disconnected efficient trajectories; (3) Multi-agent resource allocation: continuous allocations with collision penalties creating discrete efficient allocations; (4) MuJoCo-style continuous control variants adapted to multi-objective tasks (e.g., speed vs energy vs safety). Baselines: (A) independent per-scalarization policies (train one policy per fixed weight), (B) single-headed preference-conditioned policy (concat w), (C) population-based ensemble of policies, (D) entropy-regularized MOMARL, (E) non-linear scalarization baselines (Chebyshev, weighted-max), (F) implicit-policy MO methods. Metrics: primary: hypervolume (HV), IGD/IGD+, additive epsilon; diagnostics: per-preference regret, head-usage frequency, per-w TD-error histograms, fairness indices (Jain’s index) for multi-agent. Experimental setup: use stratified training with K=20 strata and batch size 256. Seeds: 20 seeds for exploratory ablations, 25 seeds for final comparisons. Training instances: H ∈ {1,4,8}; gating ∈ {learned_soft, learned_gumbel, hard_index, fixed_soft}; conditioning ∈ {FiLM+concat, concat-only, FiLM-only, small-hypernet}; critic ∈ {centralized, attention, factorized}; replay ablations: PER on/off, buffer sizes ∈ {1e5,5e5,1e6}. Ablation studies: (1) Gating type and temperature schedule comparison; (2) Conditioning ablation (FiLM vs concat); (3) Number of heads H effect on representing disconnected fronts using analytic tasks with known K; (4) Critic scaling study across agent counts {2,4,8,16} comparing HV and GPU memory. Evaluation: compute HV and IGD on dense held-out preference grids and report bootstrap 95% CIs (10k resamples) and nonparametric tests (Wilcoxon paired; Friedman+post-hoc). Report per-preference adaptation latency when preferences shift at test time.</w:t>
      </w:r>
    </w:p>
    <w:p>
      <w:r>
        <w:t xml:space="preserve"> </w:t>
      </w:r>
    </w:p>
    <w:p>
      <w:pPr>
        <w:pStyle w:val="Heading2"/>
      </w:pPr>
      <w:r>
        <w:t>Risk Factors And Limitations</w:t>
      </w:r>
    </w:p>
    <w:p>
      <w:r>
        <w:t>Technical failure modes: gating collapse (one head dominates) or head underuse producing limited Pareto coverage; training instability or critic divergence due to large joint inputs or stale preferences in replay. Data/evaluation biases: sparse coverage for rare/extreme preferences if strata or sampling is poor; reference front sensitivity for &gt;3 objectives (HV depends on normalization). Scalability limits: full centralized critic grows quickly with agent count and can become memory- or compute-bound; attention or factorized critics relieve but add model complexity. Importance-weighting bias: clipping ρ introduces bias that may favor some strata; the trade-off between variance and bias is a limitation. Generalization limits: a single policy may not perfectly represent highly disconnected or combinatorial Pareto sets beyond a modest number of modes or objectives; extensions to many (&gt;4) objectives or very large agent counts may require ensembles or hierarchical decompositions. Compute costs: thorough ablation sweeps and 20–25 seeds per config are compute-intensive and may limit breadth of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