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frequency_filter_metadescriptor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Frequency-filtering metadescriptors for characterization and grouping of concepts in nonstationary data streams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Selecting informative frequency components by their across-batch variance to form low-dimensional metadescriptors increases concept separability and clustering accuracy in nonstationary data streams compared to using full feature-space representations.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analyzes nonstationary streams using spectral summaries, feature selection, and clustering. Spectral analysis methods compute per-sample or per-batch Fourier/wavelet coefficients to detect periodic or structured changes. Multitaper and log-power summaries reduce variance in spectral estimates. Concept-drift literature uses time-domain detectors (CUSUM, Page-Hinkley) and representation learning (autoencoders, embeddings) for drift detection and adaptation. Feature-selection and stability-selection methods pick discriminative features but typically assume stationarity or independent samples. Online FDR and α-investing provide streaming control of false discoveries but often assume exchangeability or weak dependence. Limitations in existing approaches include: reliance on time-domain signals only, poor phase/semantic preservation when using magnitude-only spectra, lack of calibrated p-value construction under temporal dependence, limited diagnostics for within-batch mixtures, and insufficient methods to map parameter importance to frequency bands for continual learning.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problem of describing and grouping concepts in nonstationary data streams by operating in the frequency domain. We propose a frequency-filtering metadescriptor: compute per-sample spectral coefficients, aggregate per-batch log-power summaries, track running means and variances with bias correction, and select frequencies whose per-batch variance deviates from historical behavior using streaming-calibrated p-values. Selected frequencies form low-dimensional metadescriptors that preserve semantic content via inverse mapping to the original spatial domain. Main contributions are (1) a streaming frequency-selection pipeline with bias-corrected running moments and windowed empirical null calibration for FDR control under dependence, (2) diagnostics for within-batch mixtures and multivariate joint-frequency selection options, and (3) prototype inverse mappings and a frequency-aware importance mapping for continual learning. Expected outcome: improved concept separability, interpretable prototypes in the original domain, and stable frequency selections that enable clustering and downstream adaptation in drifting environments.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Per-sample transform: for each sample compute a tapered FFT (or wavelet packet) to obtain complex coefficients X_{i,d}(f). 'Tapered' means multiply the sample by a window to reduce edge effects. 2) Batch summary: for each batch t and feature d compute S_{t,d}(f) = average over samples and optional tapers of log(|X_{i,d}(f)|^2 + ε). Log-power reduces multiplicative scale. 3) Online moments: maintain exponential moving average m_t(f) and variance v_t(f) with weight α, and apply finite-sample bias correction m_t^unb = m_t/(1-(1-α)^t), v_t^unb similarly. 4) Standardization and p-values: z_t(f) = (S_t(f)-m_t^unb)/sqrt(v_t^unb). Build an empirical null over a sliding window W by within-window permutation of sample indices and/or block bootstrap to respect autocorrelation; compute p-values and apply Benjamini-Hochberg (windowed BH) or online-BH/α-investing to select F*_t. 5) Metadescriptor construction: form per-sample or per-batch vectors using selected frequency magnitudes or full complex coefficients (preferred). Optionally inverse-map masked spectra (ISTFT or inverse wavelet) to obtain band-limited prototypes; explain: inverse mapping reconstructs an approximation of the original input using only chosen frequencies. 6) Mixture diagnostics: compute sample-level metadescriptors over candidate frequencies, run Hartigan dip test (tests multimodality) and a lightweight EM-GMM to estimate mode proportions π_j; if minority mode proportion &lt; π_min take split or reweight actions. 7) Multivariate joint selection: option A: group Lasso on frequency blocks across channels; option B: sparse frequency-domain CCA to find coordinated frequencies; do marginal top-M screening by coefficient of variation before heavier methods. 8) Frequency→parameter mapping for continual learning: accumulate squared gradients per frequency band and weight them by energy×variance to form ω_f; use ω_f to scale EWC penalties. 9) Implementation notes: choose defaults α≈0.05, K=1 for speed or 3–5 for stability, W≈100, π_min≈0.15, and ε = median(P)/1e3; log all decisions and seeds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 drift suite: abrupt, gradual, incremental, recurring drifts and within-batch mixtures with controllable SNR and shift magnitude Δ; (2) rotating MNIST stream (image), (3) CIFAR-C corruption stream (image), (4) UCR time-series datasets converted to streaming batches, (5) ESC-50 audio subset or similar environmental audio stream, (6) one IoT sensor benchmark (public bearing or machine dataset) converted to batches. Baselines: (A) full-spectrum metadescriptor (no frequency filtering), (B) raw-space PCA+k-means, (C) autoencoder embedding + clustering, (D) time-domain drift detectors (CUSUM/Page-Hinkley) for detection tasks, (E) marginal-frequency selection only (no variance filtering). Metrics: clustering ARI, purity, adjusted mutual information; detection precision/recall/F1 and detection latency to ground-truth change points; reconstruction SSIM and MSE for images, RMSE for sensors, classifier-agreement (drop in downstream accuracy); selection stability IoU across bootstrap runs; empirical FDR vs nominal q; compute: per-batch latency (ms), throughput, peak memory. Experimental setup: batch sizes N_t in {64,128,256}, feature dims D in {64,256,512}, tapers K∈{1,3,5}, window W∈{50,100,200}; run ≥30 random seeds per condition. Statistical tests: report 95% bootstrap CIs; compare methods with paired Wilcoxon signed-rank where applicable. Ablations: (1) with vs without variance-filtered frequency selection; (2) complex-spectrum prototypes vs magnitude-only (Wiener/Griffin-Lim fallbacks); (3) windowed BH vs online-BH/α-investing; (4) marginal screening alone vs staged joint selection (group Lasso/sparse CCA); (5) EWC vs EWC+ω_f vs replay buffer. Acceptance criteria for method: higher ARI and lower detection latency than baselines with empirical FDR within ±5% of nominal in synthetic regimes.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Statistical assumptions: within-batch exchangeability and weak temporal dependence are assumed for permutation/bootstrap calibration; strong nonstationarity or long-range dependence can invalidate p-values and FDR control. 2) Phase loss: storing magnitudes only may degrade inverse reconstructions; Griffin-Lim or Wiener methods may not fully recover semantics. 3) Heavy tails and multimodality: EM-GMM and LRT bootstrap may fail when spectral distributions are heavy-tailed or have many modes; rank-based tests may be needed. 4) Sample complexity: small batch sizes or low SNR may prevent reliable frequency selection or drift detection. 5) Computational limits: FFT and multivariate solvers scale as O(D N_t log N_t) and O(D·|F*|^2); targets (e.g., 100–200 ms) may not be met on constrained hardware. 6) Generalization: frequency patterns useful in one domain (images, audio) may not transfer to others (sensor types) without tuning. 7) Continual learning mapping: projecting parameter gradients to frequency bands is approximate and may misestimate importance, leading to suboptimal EWC penalties. 8) Human interpretability: inverse-mapped prototypes may still be ambiguous and require user studies for semantic validation.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