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coda_sim2real_ssl_da</w:t>
      </w:r>
    </w:p>
    <w:p>
      <w:r>
        <w:t xml:space="preserve"> </w:t>
      </w:r>
    </w:p>
    <w:p>
      <w:pPr>
        <w:pStyle w:val="Heading2"/>
      </w:pPr>
      <w:r>
        <w:t>Title</w:t>
      </w:r>
    </w:p>
    <w:p>
      <w:r>
        <w:t>Self-supervised domain adaptation combining BYOL, adversarial alignment, and minimum class confusion for concrete damage classification from simulated to experimental coda-wave signals</w:t>
      </w:r>
    </w:p>
    <w:p>
      <w:r>
        <w:t xml:space="preserve"> </w:t>
      </w:r>
    </w:p>
    <w:p>
      <w:pPr>
        <w:pStyle w:val="Heading2"/>
      </w:pPr>
      <w:r>
        <w:t>Short Hypothesis</w:t>
      </w:r>
    </w:p>
    <w:p>
      <w:r>
        <w:t>A model trained with BYOL pretraining plus adversarial domain alignment and minimum class confusion, using large-scale synthetic coda-wave data and class-balanced pseudo-labeling, will increase average per-class recall on held-out experimental concrete measurements by at least 10 percentage points compared to a model trained only on synthetic labeled data.</w:t>
      </w:r>
    </w:p>
    <w:p>
      <w:r>
        <w:t xml:space="preserve"> </w:t>
      </w:r>
    </w:p>
    <w:p>
      <w:pPr>
        <w:pStyle w:val="Heading2"/>
      </w:pPr>
      <w:r>
        <w:t>Related Work</w:t>
      </w:r>
    </w:p>
    <w:p>
      <w:r>
        <w:t>Prior work uses physics simulations or synthetic ultrasonic data to train damage classifiers and applies domain adaptation methods (e.g., domain adversarial training) or self-supervised pretraining to reduce sim-to-real gap. Self-supervised methods like BYOL provide robust representations without labels; adversarial domain alignment (DANN-style) reduces domain shift by making features domain-invariant; pseudo-labeling and prior-estimation (BBSE/EM) are used to adapt supervised losses to target priors. Limitations remain: (1) synthetic versus experimental coda-wave mismatch is large and not fully quantified by single metrics; (2) adversarial alignment can cause negative transfer when class priors differ; (3) class imbalance and rare damage modes are poorly handled by many DA pipelines; (4) few works integrate strong SSL (BYOL) with explicit class-confusion minimization (MCC) and principled prior correction; (5) reproducible simulation regimes, fidelity thresholds and ROM acceptance criteria are often missing, reducing repeatability.</w:t>
      </w:r>
    </w:p>
    <w:p>
      <w:r>
        <w:t xml:space="preserve"> </w:t>
      </w:r>
    </w:p>
    <w:p>
      <w:pPr>
        <w:pStyle w:val="Heading2"/>
      </w:pPr>
      <w:r>
        <w:t>Abstract</w:t>
      </w:r>
    </w:p>
    <w:p>
      <w:r>
        <w:t>We address concrete damage classification from experimental coda-wave ultrasonic recordings when labeled experimental data are scarce. We propose a simulation-driven self-supervised domain adaptation framework that transfers labeled knowledge from large-scale synthetic coda-wave simulations to unlabeled experimental measurements. The method first pretrains an encoder using BYOL (a self-supervised representation learning method) on pooled synthetic and experimental traces. It then jointly adapts using three components: (1) a supervised cross-entropy loss on synthetic labels, (2) adversarial domain alignment to reduce domain separability, and (3) minimum class confusion (MCC) loss on target soft predictions to sharpen class assignments without labels. Class-prior mismatch is addressed via BBSE/EM prior estimation and class-balanced pseudo-labeling with capped quotas. We define and monitor physics-aware fidelity metrics (late-coda normalized cross-correlation, spectral Wasserstein, embedding MMD, A-distance) to certify synthetic ensembles before training. The main contribution is a reproducible pipeline that combines virtual testing, SSL, domain adaptation and principled pseudo-labeling to improve real-world concrete damage classification with limited labels. Expected outcome: at least a 10-point improvement in per-class recall on held experimental tests versus synthetic-only training.</w:t>
      </w:r>
    </w:p>
    <w:p>
      <w:r>
        <w:t xml:space="preserve"> </w:t>
      </w:r>
    </w:p>
    <w:p>
      <w:pPr>
        <w:pStyle w:val="Heading2"/>
      </w:pPr>
      <w:r>
        <w:t>Methodology</w:t>
      </w:r>
    </w:p>
    <w:p>
      <w:r>
        <w:t>1. Data generation and organization: (a) Generate high-fidelity (HF) anchor simulations (N≈1,000) sampling physical parameters (crack lengths, density, aggregate size, porosity, stiffness reduction, scattering, transducer freq/BW, coupling jitter). (b) Generate low-fidelity (LF) sweep (N≈40,000) with stratified oversampling to ensure ≥1,000 synthetic cases per damage class. (c) Collect experimental unlabeled pool and a labeled pilot (≈300 traces, ≥50 labels/class if possible). Store waveforms with metadata in HDF5 and a Parquet manifest. 2. Preprocessing and augmentations: bandpass match, time-zero align, extract late-coda windows, normalize per-record. Augmentations for BYOL views: late-biased cropping, small time shifts, time-stretch, amplitude scaling, colored noise, bandpass perturbation, and coupling jitter. 3. Model and losses: use an encoder backbone (CNN or 1D ResNet) producing embeddings. Total loss L = L_sup + λ_BYOL L_BYOL + λ_adv L_adv + λ_MCC L_MCC. Explain terms simply: BYOL loss trains the encoder without labels by matching two augmented views' embeddings; adversarial loss trains a domain discriminator to predict source/target while a gradient-reversal layer makes embeddings domain-invariant; MCC loss reduces confusion by penalizing off-diagonal mass in the batch class-correlation matrix computed from target soft predictions. 4. Training schedule and hyperparameters: BYOL momentum τ schedule 0.99→0.999; initial λ_BYOL=0.5, λ_MCC=0.2, λ_adv ramp 0.05→0.2 over first 30 epochs; optimizer AdamW (encoder lr 1e-4, tune 1e-4–1e-3), discriminator lr 5e-5, discriminator step once per two encoder steps. 5. Pseudo-labeling and prior correction: estimate target priors π̂ from the labeled pilot via BBSE; refine via EM on soft predictions every 5 epochs; compute importance weights w_c = clip(π̂_c/π_synth_c,0.5,5.0). Accept pseudo-labels per class above confidence τ_c (init 0.90, decay by 0.03 every 10 epochs, floor 0.70) and cap per-class quotas q_c = max(50, round(0.02 * N_unlabeled * π̂_c)). 6. Monitoring: compute late-coda normalized cross-correlation (NCC), spectral Wasserstein distance, embedding MMD (RBF), and A-distance per batch and report mean±STD across sensors. Require NCC≥0.90 and one other metric threshold for synthetic ensemble acceptance. 7. Reproducibility: seed all RNGs (simulator, augmentations, training), containerize code, track data with DVC and publish Hydra configs.</w:t>
      </w:r>
    </w:p>
    <w:p>
      <w:r>
        <w:t xml:space="preserve"> </w:t>
      </w:r>
    </w:p>
    <w:p>
      <w:pPr>
        <w:pStyle w:val="Heading2"/>
      </w:pPr>
      <w:r>
        <w:t>Experiments</w:t>
      </w:r>
    </w:p>
    <w:p>
      <w:r>
        <w:t>Datasets: HF anchors (1,000 synthetic cases), LF sweep (40,000 synthetic cases, stratified), unlabeled experimental pool (≥1,000 traces), labeled experimental pilot (~300 traces with ≥50 per class), and a held-out experimental test set from distinct specimens. Baselines: (A) supervised on synthetic only, (B) BYOL pretrain + linear probe (no DA), (C) BYOL + DANN (adversarial only), (D) BYOL + MCC (no adversary), (E) BYOL + DANN + MCC without prior correction, (F) Full pipeline (BYOL + DANN + MCC + BBSE/EM + class-balanced pseudo-labeling). Evaluation metrics: per-class precision, recall, F1, macro-averaged F1, overall accuracy, PR curves and AUC, Expected Calibration Error (ECE), late-coda NCC, spectral Wasserstein, embedding MMD, A-distance, and cost-weighted false-negative rate. Experimental setup: run each method with 3 random seeds, same data splits, encoder architecture fixed (e.g., 1D ResNet-34 or specified backbone) and batch size 256 combined source+target (tune 128–512), BYOL epochs 200, joint adaptation epochs 100, use AdamW and cosine lr schedule, checkpoint every 5 epochs. Ablation study: remove MCC and measure change in per-class recall; remove adversarial loss and measure domain gap via A-distance; vary λ_adv (0.01, 0.05, 0.1, 0.2) and report stability metrics (feature variance, discriminator loss oscillation). Sensitivity study: vary batch composition source:target ratios (1:1, 3:1, 1:3), BYOL predictor depth (small/medium/large), and encoder width (base/wide) and report performance and memory usage. ROM test: validate ROM candidates on HF anchors; report RMSE, spectral Wasserstein, inference latency. Reporting: provide per-method means±STD across seeds and per-class confusion matrices; pre-register analyses and record full configs for reproducibility.</w:t>
      </w:r>
    </w:p>
    <w:p>
      <w:r>
        <w:t xml:space="preserve"> </w:t>
      </w:r>
    </w:p>
    <w:p>
      <w:pPr>
        <w:pStyle w:val="Heading2"/>
      </w:pPr>
      <w:r>
        <w:t>Risk Factors And Limitations</w:t>
      </w:r>
    </w:p>
    <w:p>
      <w:r>
        <w:t>1. Sim-to-real gap: synthetic models may fail to capture real scattering, boundary conditions, coupling variability, or sensor noise, causing degraded transfer. 2. Negative transfer: adversarial alignment can hurt performance if class priors differ strongly between domains or if alignment mixes class clusters. 3. Pseudo-label noise: erroneous pseudo-labels can reinforce errors, especially for rare classes and near decision boundaries. 4. Class imbalance: rare damage modes may remain under-represented despite oversampling and lead to poor recall. 5. Compute and storage: HF simulations and SSL pretraining require large GPU hours and TB-scale storage, limiting rapid iteration. 6. ROM approximation error: surrogate models may introduce biases that propagate into training if ROM accuracy thresholds are not met. 7. Limited experimental labels: labeled pilot may be insufficient for reliable prior estimation under high label noise. 8. Evaluation bias: specimens, sensor layouts, or environmental conditions in experiments may not represent field deployment, limiting generalization. 9. Training instability: joint optimization of BYOL, adversary and MCC may exhibit gradient conflicts, mode collapse, or feature collapse in some runs. 10. Calibration limits: uncertainty estimates (ensembles or MC-dropout) may be computationally expensive and not fully calibrated on out-of-distribution field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