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ahtm_reflex_cam</w:t>
      </w:r>
    </w:p>
    <w:p>
      <w:r>
        <w:t xml:space="preserve"> </w:t>
      </w:r>
    </w:p>
    <w:p>
      <w:pPr>
        <w:pStyle w:val="Heading2"/>
      </w:pPr>
      <w:r>
        <w:t>Title</w:t>
      </w:r>
    </w:p>
    <w:p>
      <w:r>
        <w:t>Hardware‑accelerated reflex memory for Hierarchical Temporal Memory to speed first‑order sequence inference in IoT streams</w:t>
      </w:r>
    </w:p>
    <w:p>
      <w:r>
        <w:t xml:space="preserve"> </w:t>
      </w:r>
    </w:p>
    <w:p>
      <w:pPr>
        <w:pStyle w:val="Heading2"/>
      </w:pPr>
      <w:r>
        <w:t>Short Hypothesis</w:t>
      </w:r>
    </w:p>
    <w:p>
      <w:r>
        <w:t>Augmenting Hierarchical Temporal Memory with a spinal‑cord‑inspired reflex memory block and a banked CAM accelerator will significantly reduce latency and energy for first‑order sequence predictions on repetitive IoT data while preserving HTM multiorder prediction accuracy.</w:t>
      </w:r>
    </w:p>
    <w:p>
      <w:r>
        <w:t xml:space="preserve"> </w:t>
      </w:r>
    </w:p>
    <w:p>
      <w:pPr>
        <w:pStyle w:val="Heading2"/>
      </w:pPr>
      <w:r>
        <w:t>Related Work</w:t>
      </w:r>
    </w:p>
    <w:p>
      <w:r>
        <w:t>Existing sequence‑memory and temporal prediction methods include Hierarchical Temporal Memory (HTM) variants that learn higher‑order transitions through sparse distributed representations (SDRs), and associative memory / CAM accelerators used for very low‑latency lookup tasks. Prior biological‑inspired shortcuts (reflex‑like modules) and content‑addressable hardware have been applied separately: HTM provides multiorder unsupervised learning but is computation‑heavy for high‑frequency first‑order patterns; software caches speed common cases but are not hardware‑atomic or low‑energy; CAM/TCAM IP offers low‑latency associative lookups but raises area and energy costs and requires careful eviction/atomicity design. Limitations in current approaches are (1) HTM’s inefficiency on repetitive first‑order transitions, (2) lack of a principled hardware‑aware reflex API and arbitration policy to avoid biasing long‑term learning, (3) insufficient queueing/tail latency analysis for banked CAM under bursty IoT loads, and (4) absence of reproducible benchmarks comparing software RM, CAM‑backed RM, and HTM baselines under drift and adversarial sequences.</w:t>
      </w:r>
    </w:p>
    <w:p>
      <w:r>
        <w:t xml:space="preserve"> </w:t>
      </w:r>
    </w:p>
    <w:p>
      <w:pPr>
        <w:pStyle w:val="Heading2"/>
      </w:pPr>
      <w:r>
        <w:t>Abstract</w:t>
      </w:r>
    </w:p>
    <w:p>
      <w:r>
        <w:t>IoT deployments present large volumes of repetitive, temporally correlated sensor events where fast, low‑energy next‑step prediction is valuable. We propose augmenting Hierarchical Temporal Memory (HTM) with a reflex memory (RM) block inspired by spinal cord reflexes to cache and act on frequent first‑order transitions, and accelerating RM with a banked content‑addressable memory (CAM) hardware block. The combined accelerated HTM (AHTM) routes high‑confidence, low‑latency RM predictions to the application path while allowing HTM to continue learning multiorder patterns in parallel. Main contributions are: (1) a compact RM API (predict/observe/decay) with STDP‑like update and metaplastic confidence; (2) an adaptive, cost‑sensitive arbitration rule that accepts RM only when calibrated utility (accuracy gain vs latency/energy costs) is positive; and (3) a banked CAM design with per‑bank atomic updates and an LRFU‑style eviction engine to bound worst‑case latency. Expected outcome: order‑of‑magnitude reduction in median and tail latency for repetitive IoT next‑step prediction and substantial energy savings on edge hardware while maintaining HTM multiorder accuracy.</w:t>
      </w:r>
    </w:p>
    <w:p>
      <w:r>
        <w:t xml:space="preserve"> </w:t>
      </w:r>
    </w:p>
    <w:p>
      <w:pPr>
        <w:pStyle w:val="Heading2"/>
      </w:pPr>
      <w:r>
        <w:t>Methodology</w:t>
      </w:r>
    </w:p>
    <w:p>
      <w:r>
        <w:t>Overview: implement three cooperating components: (A) Reflex Memory (RM) software module, (B) HTM main learner, and (C) banked CAM hardware or emulation for RM acceleration. 1) Data representation: use sparse distributed representations (SDRs) as fixed‑length binary vectors (L = 96 bits by default). An SDR is a binary vector where a small fraction of bits (k) are active; this sparsity helps low false positives. 2) RM API: implement predict(key) -&gt; (row_id, confidence) and observe(pre_key, post_key) to record one‑step transitions. Include decay(t) called periodically to apply passive decay to weights. 3) RM weight update rules (simple terms): potentiation when pre precedes post by one step: increase weight by η_pos*(1−w); depression on mismatch: decrease by η_neg*w. Normalize outgoing weights after updates so a pre's outgoing weights sum to 1 (add tiny ε to avoid zero). Maintain per‑entry confidence (metaplasticity) that increments when a prediction is rewarded and decays slowly otherwise. 4) Arbitration: compute running windows (T=5k steps) of RM accuracy, HTM accuracy, median latencies, and an energy proxy. Calibrate RM confidences (Platt scaling or isotonic regression) on a held sliding window. Compute utility U = conf_cal * ΔAcc − λ_lat * ΔLat − μ_eng * ΔEnergy; accept RM prediction only if U&gt;0. Maintain an adaptive threshold θ that is updated by small finite‑difference gradient steps on Loss(θ) = −w_acc·ΔAcc + w_lat·ΔLat + w_eng·ΔEnergy; clip θ and cap per‑step change. Include fallback: if RM hit‑rate or mean confidence drops by &gt;20% in T_drift (1k) steps, suspend RM acceptance and cooldown for C_cool (2k) steps while RM continues observing. 5) CAM mapping and hardware primitives (for H‑AHTM): store compact hashed SDR keys (default 96‑bit) in binary associative rows with metadata: confidence, frequency, recency pointer. Bank the CAM into B banks (power‑of‑two) where each key hashes to a single bank. Provide atomic per‑bank primitives: LOOKUP, ATOMIC_INC/DEC, INSERT, INVALIDATE. Serialize updates per bank using a FIFO update queue and small per‑bank ALU for atomicity. 6) Eviction/decay engine: maintain fixed‑point LRFU score s = α*freq + (1−α)*recency per entry; run a background scanner that updates slices of entries per cycle to decay scores and invalidate low‑score rows. 7) Safety and reproducibility: implement deterministic RNG seeds, unit tests for predict/observe/decay, and a logging schema that records per‑step decisions, latencies and confs. Explanation of technical terms: STDP‑like update = time‑dependent strengthening or weakening of a connection based on order of activation; LRFU = eviction score combining frequency (how often used) and recency (how recently used).</w:t>
      </w:r>
    </w:p>
    <w:p>
      <w:r>
        <w:t xml:space="preserve"> </w:t>
      </w:r>
    </w:p>
    <w:p>
      <w:pPr>
        <w:pStyle w:val="Heading2"/>
      </w:pPr>
      <w:r>
        <w:t>Experiments</w:t>
      </w:r>
    </w:p>
    <w:p>
      <w:r>
        <w:t>Datasets: (A) curated real IoT traces: TON_IoT telemetry subsets, Numenta NAB event traces, UCI Gas Sensor drift slices, SWaT/WADI industrial traces (device‑level streams); (B) synthetic generator producing Markov sequences with controllable first‑order repetition p1 ∈ {0,0.25,0.5,0.75,0.9,0.99}, noise_rate, burstiness, and drift schedules (abrupt, gradual, recurring). Baselines: (1) HTM only (no RM), (2) AHTM software RM (RM implemented in software cache), (3) H‑AHTM (RM accelerated by CAM or accurate BRAM emulation). Ablations: RM off, RM without decay, RM without metaplasticity (no confidence), banking counts (B ∈ {4,16}), capacities N ∈ {1k,4k,8k,32k}, θ_confidence ∈ {0.5,0.7,0.9}. SDR config: L=96 bits, k=12 active bits. Runtime parameters: warm‑up 10k steps, steady‑state runs 100k steps per trial; for drift tests run 200k steps with drift event at step 100k. Repeats: 10 independent seeds for primary comparisons, 5 seeds for exploratory cells. Metrics (computed over sliding windows and reported as mean ±95% bootstrap CI): next‑step accuracy, RM hit‑rate, precision/recall/F1 for RM predictions, RM false‑positive rate (use union/Chernoff bound to sanity‑check), HTM operation count reduction (saves), latency percentiles (median, p95, p99), calibration error (ECE), adaptation time after drift (time to recover X% accuracy), memory footprint, and energy proxy (op counts × per‑op energy estimate). Hardware microbench: measure lookup latency and update latency, queue depths, and per‑op energy on FPGA for 4k and 8k builds; for ASIC estimates use vendor CAM datasheet numbers when available. Statistical tests: paired Wilcoxon signed‑rank for paired comparisons, report effect sizes and Benjamini–Hochberg corrected p‑values. At least one ablation: compare HTM only vs AHTM software RM vs H‑AHTM on p1 sweep to show latency/energy benefits on high p1 while checking that multiorder HTM accuracy is not degraded (paired test H0: AHTM multiorder accuracy ≥ HTM − 0.02). Provide reproducible configs, seeds, and scripts for all runs.</w:t>
      </w:r>
    </w:p>
    <w:p>
      <w:r>
        <w:t xml:space="preserve"> </w:t>
      </w:r>
    </w:p>
    <w:p>
      <w:pPr>
        <w:pStyle w:val="Heading2"/>
      </w:pPr>
      <w:r>
        <w:t>Risk Factors And Limitations</w:t>
      </w:r>
    </w:p>
    <w:p>
      <w:r>
        <w:t>Technical failure modes: RM may introduce bias by over‑favoring first‑order transitions and impair HTM multiorder learning if arbitration or confidence calibration fail. CAM bank skew or adversarial keys can overload a bank, producing long tail latencies beyond M/M/1 estimates. Hardware IP uncertainty: lacking vendor CAM/TCAM datasheets early will make area/energy claims speculative. Data and evaluation biases: curated IoT datasets may not cover real deployment diversity; results may overfit synthetic generator parameters. Scalability limits: CAM area and energy scale with capacity N; very large N (≥32k) may be infeasible on constrained edge devices. Compute limits: STM/MCU RAM constraints restrict RM sizes (example: 8k entries ≈ 160 KB metadata) and may force gateway offload. Queueing model limits: M/M/1 assumptions are optimistic for bursty heavy‑tailed arrivals; tail behavior must be validated by simulation. Security and privacy risks: stored RM keys and access patterns can leak sensitive behavioral traces. Adversarial sequences: intentionally crafted sequences can cause high RM false positives or hash collisions and degrade performance long‑term. Generalization limits: effectiveness is highest for workloads with frequent first‑order repetition; for datasets dominated by higher‑order structure benefits are smaller or absent.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