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adapkooppc_mixed_traffic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deep Koopman predictive control for mitigating traffic oscillations in mixed traffic flow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Embedding an adaptive deep Koopman linear representation of human-driven vehicle dynamics into a model predictive controller operated by connected automated vehicles reduces traffic oscillation energy by at least 10% relative to a non-adaptive baseline MPC under comparable scenarios and CAV penetration rates.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mitigating traffic oscillations include classical car-following controllers (IDM/OVM) and model predictive control (MPC) based on physics models, which rely on parametric vehicle models and do not adapt online to heterogeneous human drivers. Learning-based controllers use black-box neural nets for prediction or end-to-end control but often lack linear structure for scalable multi-vehicle MPC and have limited safety certificates. Koopman-based methods lift nonlinear dynamics into a linear latent space enabling linear control design, and deep Koopman networks have been used to learn such lifts from data. Prior deep Koopman controllers are typically offline-trained, non-adaptive, or applied to single-vehicle tasks; they lack per-cluster residual statistics for constraint tightening, robust OOD detection for heavy-tailed events (cut-ins, multi-agent interactions), explicit real-time SoC benchmarking, and integrated privacy analysis. Thus gaps remain in adaptation guarantees, persistent-excitation handling, tail-robust OOD detection, solver failure mapping to runtime fallbacks, and reproducible HIL-to-field transition artifacts.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Traffic oscillations created by human drivers degrade travel time, comfort, and fuel efficiency. We propose AdapKoopPC, an adaptive deep Koopman predictive control framework that (1) learns a linear latent representation of heterogeneous human-driven vehicle behavior from naturalistic data, (2) exports a linear decoder and latent dynamics into a real-time MPC, and (3) adapts the latent dynamics online via gated recursive least squares to track changing behavior. The method computes per-cluster residual statistics to tighten observation constraints and uses a safety filter that overrides control when feasibility or safety is threatened. Contributions: an end-to-end pipeline from data curation and clustering to residual-based constraint tightening, a hybrid adaptation policy for K,B updates with accept/revert tests, and a practical runtime stack with solver fallbacks and OOD detectors. Expected outcome: scalable, real-time control for fleets of connected automated vehicles that measurably reduces oscillation energy in mixed traffic while providing documented runtime behavior, OOD alerts, and privacy-aware data releases.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curation and clustering: collect ≥500 vehicle-hours at 10 Hz, segment into ≈10,000 car-following episodes, extract features (speed, headway, gap, accel, jerk, reaction-lag). Cluster episodes by behavior using GMM/HDBSCAN; validate clusters with silhouette/BIC. 2) Offline AdapKoopNet training: train encoder φ mapping recent history to latent z, learn affine latent dynamics z_{t+1}=Kz_t+Bu_t and linear decoder ŷ=Cz+d; train decoder ψ to reconstruct observables y. Use ridge regularization and monitor decoder R^2. Explain: encoder = network that summarizes recent states; decoder = linear map that recovers observables. 3) Residual statistics: compute one-step and N-step residuals r_t=y_t−ŷ_t per-cluster; estimate mean μ_r, covariance Σ_r and high quantiles (99%,99.9%) via bootstrap. 4) Constraint mapping and tightening: map observation constraints g(y)≤0 to latent form g(Cz+d)≤0 and tighten by m=μ_r+k·σ_r (k=3 conservative). For nonlinear decoder, linearize and add worst-case Lipschitz term. 5) Online adaptation: run RLS updating (K,B) with forgetting λ∈[0.995,0.9995], ridge γ∈[1e-4,1e-2]; gate updates when rolling residual over T_window∈[1,3] s exceeds α·baseline (α∈[1.5,2.0]) or absolute gap error &gt;0.1 m; accept update only if validation residual decreases, otherwise revert. 6) MPC design: implement tube-MPC (worst-case) and chance-constrained QP (Gaussian residuals). Use linearized latent dynamics for prediction and tightened constraints. 7) Safety filter: implement control barrier function (CBF) on gap; if infeasible, apply emergency deceleration override and freeze adaptation. 8) OOD and privacy: deploy ensemble+Mahalanobis+autoencoder detectors and calibrate ROC on stress folds; prepare DP-noised aggregated exports (ε,δ) and report utility curves. 9) HIL benchmarking: integrate encoder, RLS, QP assembly and solver on target SoCs with warm-start and fallback hierarchy (reduce latent dim, shorten horizon, switch solver, explicit PWA backup).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curated naturalistic dataset ≥500 vehicle-hours sampled at 10 Hz producing ≈10k episodes; synthetic stress scenarios: leader hard-brake (−4 m/s²), cut-ins, stop-and-go seed waves; simulation environments: SUMO/Flow for large batches and CARLA for richer perception-latency tests. Baselines: (A) no CAV control (human-only), (B) classical MPC using IDM-fit plant model, (C) offline deep Koopman MPC without online adaptation, (D) AdapKoopPC ablations (no gating, no RLS, encoder-adapt enabled/disabled). Evaluation metrics: primary: oscillation energy = ∫(Δv)² over time; secondary: speed variance, RMS jerk, braking frequency, minimum TTC, throughput (veh/hr), solver latency (median,95th,99th), OOD ROC (AUC, TPR@FPR=1%). Experimental setup: run Monte Carlo with ≥200 trials per condition; vary CAV penetration {0,10,25,50}% and heterogeneity levels (low/med/high). Cross-validation: cluster-wise folds (train clusters except one for held-out cluster) and standard train/val/test with fixed seeds. Ablation study: sweep latent dims {4,6,8,10} and MPC horizons {10,20,40} steps; measure oscillation energy and solver time. SoC timing: benchmark encoder inference, RLS update, QP assembly and solve on Intel i7, Jetson Xavier, Cortex-A72; record solver failure modes and fallback triggers. Statistical tests: mixed-effects model for metric vs treatment with random intercepts for run/driver, bootstrap CI for primary metric, power analysis to detect 10% oscillation-energy reduction at 80% power. Reproducibility: publish seeds, Dockerfile, minimal synthetic dataset and per-cluster C,d exports used in experiments.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Adaptation instability: RLS updates could drift parameters and violate the closed-loop spectral-radius ρ&lt;1 assumption, causing oscillations. 2) Lack of persistent excitation: natural traffic may not excite parameters enough for meaningful online identification, limiting adaptation benefit. 3) Heavy-tailed OOD events: Mahalanobis detectors may fail for structured or adversarial cut-ins and multi-agent interactions. 4) Solver failures: QP solver infeasibility, max-iteration exits, or numerical issues may require fallbacks that degrade performance. 5) Compute limits: target SoCs may not meet timing targets for larger latent dims/horizons, limiting scalability. 6) Dataset bias: clustered priors or training folds may not cover rare behaviors, harming generalization. 7) DP impact: differential privacy noise can inflate tightening margins and reduce usable safety margin. 8) Human factors: interactions with human drivers may produce emergent behaviors not captured by offline data. 9) Measurement and latency noise: sensor delays, packet loss, and asynchronous sampling can increase residual tails and cause constraint violations. 10) Reproducibility scope: synthetic minimal datasets may not capture full naturalistic variability, limiting independent replication of field-level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