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hgmn_ssm_hypergraph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Hypergraph neural network with state-space model fusion for node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Fusing role-aware hypergraph diffusion and adjacency-based embeddings via per-stream state-space depth-aggregation and a learnable fusion improves node classification accuracy relative to capacity-matched adjacency-only GNNs on graphs that require long-range or role-based signals.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Graph neural networks (GCN, GAT, GraphSAGE) aggregate pairwise edges and often require many layers or specialized tricks to capture long-range structure; deep stacks can cause oversmoothing. Hypergraph neural networks extend message passing to hyperedges to capture higher-order relations but typically use fixed hyperedges, static hyperedge weights, or simple averaging that may miss prototype/role structure and are sensitive to hyperedge degree imbalance. Role-based and structural embedding methods (struc2vec, role2vec) extract node roles but are usually decoupled from end-to-end GNN training. State-space models (SSMs) and HiPPO/S4 variants capture long-range sequential dependencies efficiently in sequence modeling but have been rarely applied to multi-hop graph aggregation. Fusion methods that combine multiple relational streams are often simple (concatenation or scalar gating) and do not adaptively attend across streams. Limitations: pairwise GNNs miss higher-order prototypes; hypergraph methods lack learnable soft-membership or stable normalization at scale; SSMs are underexplored for graph depth-aggregation; and existing fusion strategies lack systematic evaluation.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node classification on graphs where relevant signals are higher-order or role-based and may require many propagation hops. We propose a modular architecture that constructs role-based and adjacency hyperedge families, applies numerically-normalized hypergraph diffusion to produce per-stream embeddings, and performs depth-aggregation with state-space models (SSMs) per stream. A learnable transformer-like fusion module combines role and adjacency streams into residual node updates. Main contributions are: (1) combining role-aware hypergraphs with SSM-based depth-aggregation to capture long-range, prototype-style signals without deep stacks; (2) a scalable hyperedge-weight parameterization (scalar logits and low-rank soft-membership) with stable De^{-1} recipes; and (3) an ablation suite comparing gated, concat+MLP, and cross-attention fusion under matched capacity. We expect this method to improve classification accuracy on low-homophily and long-diameter graphs while providing measurable compute/memory trade-offs and interpretable hyperedge attributions.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Hyperedge construction: compute two hyperedge families per graph: adjacency-based (k-NN, ego-nets, motif cliques) and role-based (compute multi-view structural signatures per node: k-hop degree histograms, clustering, PageRank, WL counts; reduce dimensionality to D_role with PCA or small autoencoder; cluster into K prototypes and produce soft memberships). A hyperedge is a set of nodes associated with a prototype; cap hyperedge size and deterministically split oversized hyperedges. (Explain: a hyperedge is a group relation connecting many nodes at once.)</w:t>
        <w:br/>
        <w:t>2) Diffusion operator: form normalized hypergraph diffusion Θ_f = Dv^{-1/2} H_f W_e De^{-1} H_f^T Dv^{-1/2} where H_f is incidence and W_e is learnable positive hyperedge weight (parameterize with logits and softplus). Compute De as per-hyperedge degree vector and invert elementwise with ridge ε. (Explain: diffusion moves features through hyperedges.)</w:t>
        <w:br/>
        <w:t>3) Per-stream projection: for each family f compute Z_f = Θ_f X W_f using sparse matmul; W_f is a linear projection. 4) State-space depth-aggregation: treat per-node multi-hop projections as a short 1D sequence and apply a convolutional SSM per stream to aggregate depth (light variant: grouped diagonal+low-rank A, T=16, N=16; heavy: per-channel S4/HiPPO, T=32–64). Use FFT conv for long kernels and compute kernels in high precision before casting. (Explain: SSM is a linear dynamical system used here to aggregate across propagation depths.)</w:t>
        <w:br/>
        <w:t>5) Fusion and update: apply a learnable fusion: light uses a scalar gated fusion g = sigmoid(MLP([Z_role,Z_adj])) and residual update X' = LayerNorm(X + α·(g⊙Z_role + (1−g)⊙Z_adj)); heavy uses per-family projections plus multi-head cross-attention between streams and concat+MLP readout. 6) Regularizers and losses: include L2 on low-rank factors, entropy penalty on soft memberships, small ridge on De, and optionally spectral-norm clamps on learned diffusion. Use standard cross-entropy for node labels. 7) Training details: AdamW, warmup then cosine decay, mixed precision, gradient clipping; log spectral radius(Ad), De condition, kernel norms for stability.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Cora, PubMed, OGBN-ArXiv (official splits), OGBN-Products for scale, a low-homophily graph (Actor or Twitch), and synthetic datasets: planted-role SBM (configurable N∈{1k,10k,50k}, C roles, avg_degree, within/cross probabilities) and long-range families (chain, ladder, Watts–Strogatz). Baselines: GCN, GAT, GraphSAGE, APPNP, SIGN, HyperGCN/HGNN, HNHN, role-only pipeline (structural embeddings + MLP), and capacity-matched adjacency-only GNN (increase depth/width to match parameter count and FLOPs). Metrics: node classification accuracy, macro-F1, micro-F1, expected calibration error (ECE), per-role accuracy gap, peak GPU memory, epoch time, and FLOP estimates. Experimental setup: run prototype experiments with 10 seeds and final reporting with 30 seeds; use transductive splits 20 labels/class and low-label regimes {5,10,20}; tune hyperparameters on validation fold; report mean±std and 95% CI. Ablations (explicit): (A) SSM vs no-SSM (replace SSM with sum over hops); (B) fusion types: gated scalar, concat+MLP, multi-head cross-attention; (C) hyperedge weight modes: scalar logits, low-rank soft-membership, hybrid; (D) grouped vs per-channel SSM; (E) random-role control (shuffle prototype assignments). Statistical tests: paired Wilcoxon signed-rank (or paired t-test if normal) with Benjamini-Hochberg FDR correction; declare improvement only if adjusted p&lt;0.05 and Cohen's d&gt;0.2. Profiling: measure per-layer FLOPs, incidence nnz, parameter counts, peak GPU memory, and epoch wall time for light/heavy configs on target hardware.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Stability failure modes: learned low-rank A or large hyperedge weight variance can lead to ill-conditioned De^{-1} or SSM instability (exploding kernels or spectral radius &gt;1). 2) Scalability constraints: dense or very large hyperedges increase incidence nnz and memory; naive SSM with long kernel lengths multiplies activation memory if FFT/streaming is not used. 3) Compute budget: heavy variant requires substantially higher FLOPs and GPU memory and may be infeasible on limited hardware. 4) Data bias and leakage: role prototype construction can leak information if not restricted to training graph in inductive or temporal settings. 5) Limited generalization: method gains depend on presence of long-range or role signals and may not improve on small-diameter, high-degree graphs. 6) Evaluation risks: false positives if adjacency baselines are not strictly capacity-matched; ablation sensitivity to seeds can mask true effects. 7) Interpretability limits: hyperedge attribution may be noisy when hyperedges overlap heavily and may not provide causal explanations.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