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recurrence_quantile_inception_protect</w:t>
      </w:r>
    </w:p>
    <w:p>
      <w:r>
        <w:t xml:space="preserve"> </w:t>
      </w:r>
    </w:p>
    <w:p>
      <w:pPr>
        <w:pStyle w:val="Heading2"/>
      </w:pPr>
      <w:r>
        <w:t>Title</w:t>
      </w:r>
    </w:p>
    <w:p>
      <w:r>
        <w:t>Recurrence-plot and change-quantile based InceptionTime supervised and semi-supervised protection for transmission lines connected to photovoltaic plants</w:t>
      </w:r>
    </w:p>
    <w:p>
      <w:r>
        <w:t xml:space="preserve"> </w:t>
      </w:r>
    </w:p>
    <w:p>
      <w:pPr>
        <w:pStyle w:val="Heading2"/>
      </w:pPr>
      <w:r>
        <w:t>Short Hypothesis</w:t>
      </w:r>
    </w:p>
    <w:p>
      <w:r>
        <w:t>Fusing full recurrence matrices and change-in-quantile features with an InceptionTime backbone and ReliefF-selected features, augmented by conservative semi-supervised labeling, will reduce detection latency and false-trip rate while improving phase identification and single-ended location accuracy versus classical relays and baseline ML models.</w:t>
      </w:r>
    </w:p>
    <w:p>
      <w:r>
        <w:t xml:space="preserve"> </w:t>
      </w:r>
    </w:p>
    <w:p>
      <w:pPr>
        <w:pStyle w:val="Heading2"/>
      </w:pPr>
      <w:r>
        <w:t>Related Work</w:t>
      </w:r>
    </w:p>
    <w:p>
      <w:r>
        <w:t>Existing intelligent protection methods use time-series deep models (1D-CNN, LSTM, InceptionTime variants) or hand-crafted features for fault detection and location on lines with conventional sources. Some works use recurrence quantifiers for anomaly detection and separate quantile features for nonstationary signals. Semi-supervised learning (label propagation, self-training, Mean Teacher) has been applied to reduce label needs in power systems, but prior work often: (1) treats recurrence features or quantiles in isolation rather than fusing image+feature+waveform modalities; (2) lacks per-fold, leakage-avoiding feature selection; (3) applies semi-supervised methods without strict pseudo-label safeguards, allowing confirmation bias; (4) omits deployment constraints (latency, parameter budgets, pruning/quantization); (5) uses limited topology coverage for generalization. These gaps limit robustness for converter-interfaced PV plants and single-ended location tasks.</w:t>
      </w:r>
    </w:p>
    <w:p>
      <w:r>
        <w:t xml:space="preserve"> </w:t>
      </w:r>
    </w:p>
    <w:p>
      <w:pPr>
        <w:pStyle w:val="Heading2"/>
      </w:pPr>
      <w:r>
        <w:t>Abstract</w:t>
      </w:r>
    </w:p>
    <w:p>
      <w:r>
        <w:t>We address single-ended protection of transmission lines between the grid and photovoltaic (PV) plants when converters introduce nonstandard current behavior. We propose to compute full recurrence matrices from short waveform buffers and change-in-quantile feature vectors from pre/post-fault subwindows, then fuse these modalities into an InceptionTime-based deep model. ReliefF ranks quantile features per training fold; the selected quantiles and learned embeddings are jointly used for three tasks: binary detection, faulty-phase identification, and normalized single-ended location regression. To reduce labeled-data requirements we evaluate conservative semi-supervised methods (label spreading/propagation, self-training with temperature-scaled confidence and strict caps). We log seeds, use grouped stratified cross-validation, and constrain model size and latency for edge deployment. The main contribution is a reproducible pipeline that combines recurrence imagery, change-quantile statistics, feature selection, InceptionTime fusion, and guarded semi-supervised labeling to improve protection accuracy and latency under varied PV/line conditions. Expected outcome: lower false-trip and faster, more accurate detection/location than classical relays and standard ML baselines while meeting practical runtime targets.</w:t>
      </w:r>
    </w:p>
    <w:p>
      <w:r>
        <w:t xml:space="preserve"> </w:t>
      </w:r>
    </w:p>
    <w:p>
      <w:pPr>
        <w:pStyle w:val="Heading2"/>
      </w:pPr>
      <w:r>
        <w:t>Methodology</w:t>
      </w:r>
    </w:p>
    <w:p>
      <w:r>
        <w:t>1) Data generation: simulate PSCAD/EMTDC cases mapped to WSCC 9-bus and IEEE 39-bus topologies. Sweep faults (AG,BG,CG,AB,BC,CA,ABC), distances (10–200 km with 1%/5% bins), Rfault ∈ [0.01,100] Ω, SCR ∈ {2,3,5,10}, inception angles 0–330° step 30°, PV penetration 20–100%, CT/VT saturation, reclosing, and converter modes (GFL/GFM). Sample primary signals at 5 kHz; provide downsampled 2 kHz and 1 kHz variants. Label windows with case_id, fault flag, fault_type, faulty_phase(s), normalized location 0–1 and scenario metadata. 2) Preprocessing: anti-alias low-pass (cutoff 0.45·Fs), detrend by linear fit on pre-fault interval, per-phase z-score normalize by pre-fault RMS, align by fault inception timestamp, interpolate missing samples. Extract centered rolling buffers (causal options: 10–50 ms fast buffer, default 50 ms, also 100 ms and 200 ms windows). 3) Embedding and recurrence: compute AMI (first local minimum) and FNN per case; if std/mean &lt;0.15 use global defaults m=3, τ≈25 (5 kHz). Build full N×N recurrence matrices from time-delay embeddings using L2 distances and continuous Gaussian kernel K(d)=exp(- (d/σ)^2) with σ=median pairwise distance. We adopt full N×N convention (including diagonal and symmetry) for image inputs and cache float32 matrices in HDF5. For edge use decimated images 64×64 or 128×128. 4) Change-in-quantile features: compute quantiles q∈{0.1,0.25,0.5,0.75,0.9} on pre/post subwindows (default 20 ms pre vs 20 ms post). Define Δq = (post_q - pre_q)/max(pre_q,1e-6). Include per-phase Δq, mean Δq, pairwise differences and analytic-signal (Hilbert) magnitude/phase changes. Store normalized feature tables. 5) Feature selection: compute ReliefF per training fold only (k=10 neighbors, 5 repeated subsamples) to produce a ranked list; select top-K per fold where K ∈ {10,20,40} to be tuned by validation. Do not compute on validation/test folds to avoid leakage. Recompute ReliefF after pseudo-labeling only if trusted pseudo-label set changes &gt;10% of labeled pool. 6) Model architecture and fusion: waveform trunk = InceptionTime stack with defaults: depth = 3 inception modules, per-module kernel sets = {8,16,32} and {16,32,64} tried, bottleneck width = 32, filters per branch = 32, dropout = 0.2. Recurrence trunk = lightweight 2D CNN (3 conv blocks) to embed images to 128-d vector. Quantile vector (ReliefF-selected) projected by two-layer MLP to 64-d. Fuse by mid-level concatenation: concatenate vectors then pass shared encoder (2 FC layers 256→128). Three heads: detection (binary sigmoid, BCE loss), phase ID (multi-label softmax or multi-BCE depending on multi-phase faults), location regression (Smooth L1 / Huber loss). Multi-task loss: weighted sum with homoscedastic uncertainty weights learned or fixed weights tuned on validation. 7) Training and optimization: optimizer AdamW, LR in [1e-4,1e-2] (log), cosine annealing schedule with 5-epoch warmup, gradient clip 1.0, batch ∈ {32,64,128}. Use Optuna (TPE) + ASHA (grace=10 epochs, reduction=3) for hyperparam search; run 100–300 trials per family. Fix RNG seeds {0,1,2,3,4}, average top-3 seeds for reporting. Log all experiments in MLflow and version data with DVC; containerize with Docker. 8) Semi-supervised protocol: hold out a labeled validation set (10% of labeled pool) for pseudo-label monitoring. Methods: (A) label propagation/spreading on kNN graph built on standardized embeddings (k∈[10,50], RBF σ=median distance) with alpha≈0.8; (B) self-training with Mean Teacher or student-teacher; (C) co-training via cross-view agreement. Calibrate outputs via temperature scaling on validation. Accept pseudo-labels only if max calibrated probability ≥0.95 (optionally 0.90 after human review), cap additions to ≤5% of labeled pool per iteration and overall multiplier ≤2×, limit iterations ≤4. Use confidence-weighted loss with linear ramping of pseudo weight 0→1. Require cross-view consensus for additional safety. 9) Deployment sizing: target ≤2M parameters and FLOPs &lt;1e9. Profile with ptflops/ONNX, measure P50/P95 latency on ARM Cortex-A53 and Intel Atom via ONNX Runtime. Apply iterative magnitude pruning (30–70%) and quantization-aware training to INT8; produce both INT8 and FP16 artifacts. 10) Explainability &amp; logging: compute Grad-CAM saliency on recurrence images, SHAP on quantile features, and persist all artifacts, seeds and AMI/FNN outputs for reproducibility.</w:t>
      </w:r>
    </w:p>
    <w:p>
      <w:r>
        <w:t xml:space="preserve"> </w:t>
      </w:r>
    </w:p>
    <w:p>
      <w:pPr>
        <w:pStyle w:val="Heading2"/>
      </w:pPr>
      <w:r>
        <w:t>Experiments</w:t>
      </w:r>
    </w:p>
    <w:p>
      <w:r>
        <w:t>1) Datasets: create PSCAD-derived datasets for two topology families: WSCC 9-bus and IEEE 39-bus. For each topology produce ~20k–50k labeled windows per testbed. Per-scenario cell (fault type × distance bin × inception angle × SCR) target ≥50 labeled samples; provide labeled fractions for semi-supervised tests at 1%, 5%, 10% (stratified by scenario). Window sizes to evaluate: 50 ms (N≈250 at 5 kHz), 100 ms, 200 ms. 2) Baselines: (a) classical relays: distance, directional, overcurrent, zero-sequence element using available local measurements; (b) ML baselines: logistic regression on quantiles, Random Forest, XGBoost on engineered features; (c) neural baselines: small 1D-CNN, LSTM; (d) InceptionTime baseline trained on raw 3-phase waveforms without recurrence/quantiles. 3) Proposed models: full fused model (waveform InceptionTime + recurrence CNN + ReliefF quantiles) in supervised mode; semi-supervised variants using label-spreading, label-propagation, self-training (Mean Teacher), and co-training. 4) Ablation studies: modality ablations (waveform-only, recurrence-only, quantiles-only, fused), ReliefF selection sizes K ∈ {10,20,40}, semi-supervised method comparison at labeled fractions 1%,5%,10%, and impact of pruning/quantization (prune rates 30%,50%,70% + INT8 QAT). 5) Evaluation metrics: detection false-trip rate (FTR), dependability (% detection), detection latency distribution (P50,P95), phase identification precision/recall/F1, location MAE (normalized 0–1), calibration (ECE), and computational metrics: parameter count, FLOPs, P50/P95 latency on target CPUs. 6) Validation protocol: grouped stratified 5-fold cross-validation (group by case_id/scenario) with seeds {0,1,2,3,4}. Report averages over top-3 seeds. Compute 95% confidence intervals via 1000 bootstrap resamples. For paired testing use Wilcoxon signed-rank for continuous metrics and McNemar for binary outcomes; apply Benjamini–Hochberg correction across scenario-wise tests. 7) Hyperparameter search and reporting: use Optuna TPE + ASHA, persist study and best trial artifacts in MLflow. Budget 200–800 GPU-hours depending on dataset size. 8) Runtime tests: profile final candidate models on ARM Cortex-A53 and Intel Atom using ONNX Runtime; measure P50/P95 latency and accuracy drop after pruning+QAT. 9) HIL validation: run final models in RTDS or OPAL-RT relay-HIL with timed trip/no-trip capture and mapping to IEC 60255-style functional tests. 10) Success criteria: achieve lower FTR and detection latency P95 than classical baseline and InceptionTime-only baseline with statistically significant improvement (p&lt;0.05 after BH correction) and meet runtime targets (P95 ≤20 ms on target CPU) while parameter count ≤2M.</w:t>
      </w:r>
    </w:p>
    <w:p>
      <w:r>
        <w:t xml:space="preserve"> </w:t>
      </w:r>
    </w:p>
    <w:p>
      <w:pPr>
        <w:pStyle w:val="Heading2"/>
      </w:pPr>
      <w:r>
        <w:t>Risk Factors And Limitations</w:t>
      </w:r>
    </w:p>
    <w:p>
      <w:r>
        <w:t>1) Recurrence cost and latency: full N×N recurrence has O(N^2) time and memory. For N=250 (50 ms at 5 kHz) full matrix has 62,500 entries; larger windows (100–200 ms) grow quickly and can break real-time budgets. Edge devices may need precomputed recurrence or decimated images, increasing storage. 2) Pseudo-label error accumulation: semi-supervised methods can amplify label errors and introduce confirmation bias if pseudo-label safeguards fail. 3) Domain shift: models trained on simulated PSCAD cases may not generalize to field measurements, different inverter firmware, or topology changes (GFL vs GFM). 4) Label scarcity and imbalance: rare cells (high Rfault, multi-faults) may remain under-represented even after augmentation, harming location accuracy. 5) Single-ended location limits: physics ambiguity inherent to single-ended measurements limits achievable MAE, particularly for near-end vs far-end faults; regression targets can be biased. 6) Computational budget: extensive Optuna searches, bootstrap CIs and HIL tests require large compute and lab time; budgets may constrain hyperparameter tuning. 7) Safety/regulatory acceptance: automatic-trip decisions require conservative fusion rules; model errors have severe consequences and certification steps (FMEDA/SIL) are nontrivial. 8) Reproducibility pitfalls: hidden nondeterminism in simulation tooling, floating-point differences after quantization, and insufficient seed logging can reduce reproducibility. 9) Explainability limits: deep fused models and recurrence images are less interpretable than classical impedance methods, complicating operator trust. 10) Evaluation bias: synthetic simulations might not represent all real-world noise/artifacts (e.g., communication delays, measurement jitter), leading to optimistic metrics.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