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gnn_aclp_spicenet</w:t>
      </w:r>
    </w:p>
    <w:p>
      <w:r>
        <w:t xml:space="preserve"> </w:t>
      </w:r>
    </w:p>
    <w:p>
      <w:pPr>
        <w:pStyle w:val="Heading2"/>
      </w:pPr>
      <w:r>
        <w:t>Title</w:t>
      </w:r>
    </w:p>
    <w:p>
      <w:r>
        <w:t>GNN-ACLP: SEAL-based Graph Neural Networks with LLM-augmented Netlist Canonicalization for Analog Circuit Port-level Link Prediction</w:t>
      </w:r>
    </w:p>
    <w:p>
      <w:r>
        <w:t xml:space="preserve"> </w:t>
      </w:r>
    </w:p>
    <w:p>
      <w:pPr>
        <w:pStyle w:val="Heading2"/>
      </w:pPr>
      <w:r>
        <w:t>Short Hypothesis</w:t>
      </w:r>
    </w:p>
    <w:p>
      <w:r>
        <w:t>Pretraining a SEAL-style subgraph GNN on constrained synthetic netlists and training with calibrated Netlist-Babel-Fish (RAG) conversion confidences increases per-port average precision by at least 0.05 (5 percentage points) relative to a topology-only GNN baseline on held-out SpiceNetlist circuits.</w:t>
      </w:r>
    </w:p>
    <w:p>
      <w:r>
        <w:t xml:space="preserve"> </w:t>
      </w:r>
    </w:p>
    <w:p>
      <w:pPr>
        <w:pStyle w:val="Heading2"/>
      </w:pPr>
      <w:r>
        <w:t>Related Work</w:t>
      </w:r>
    </w:p>
    <w:p>
      <w:r>
        <w:t>Prior work applies graph neural networks (GNNs) to link prediction and circuit learning, and SEAL-style methods use local subgraphs with node labeling to improve link prediction in graphs. Existing analog/netlist efforts rely on rule-based net-sharing heuristics or whole-graph GNNs that operate at component-level rather than port-level. Netlist canonicalization has been addressed with deterministic parsers; recent work explores large language models (LLMs) for format conversion but reports hallucinations and inconsistent schema outputs. Synthetic circuit generation and data augmentation have been used to mitigate label scarcity, yet previous generators often omit electrical invariants (Kirchhoff, body ties) and lack SPICE-based plausibility checks. Limitations in prior approaches include insufficient port-level granularity, fragile handling of diverse netlist formats, limited electrical validation of synthetic labels, weak calibration of conversion confidence, and scarce reproducible hyperparameter/ablation specifications for fair comparisons.</w:t>
      </w:r>
    </w:p>
    <w:p>
      <w:r>
        <w:t xml:space="preserve"> </w:t>
      </w:r>
    </w:p>
    <w:p>
      <w:pPr>
        <w:pStyle w:val="Heading2"/>
      </w:pPr>
      <w:r>
        <w:t>Abstract</w:t>
      </w:r>
    </w:p>
    <w:p>
      <w:r>
        <w:t>We present GNN-ACLP, a reproducible pipeline that combines SEAL-style subgraph graph neural networks with an LLM-augmented netlist canonicalizer (Netlist Babel Fish) and a validated SpiceNetlist corpus to predict conductive links between device ports in analog circuits. The pipeline addresses three practical challenges: capturing local topological motifs at port resolution, alleviating labeled-data scarcity with constrained synthetic pretraining, and handling heterogeneous netlist formats via retrieval-augmented generation and calibrated confidence scores. Key contributions are (1) a SEAL-style GIN backbone configured for port-level link prediction with explicit node labeling and edge-aware messages, (2) a RAG-based canonicalizer that emits a deterministic JSON schema with calibrated conversion confidence used to weight training, and (3) the SpiceNetlist dataset with annotated real circuits plus a constrained synthetic expansion validated by parser and SPICE spot-checks. We expect GNN-ACLP to improve per-port average precision and circuit-level functional recovery compared to topology-only and non-RAG baselines, while producing provably validated canonical netlists for downstream electrical evaluation.</w:t>
      </w:r>
    </w:p>
    <w:p>
      <w:r>
        <w:t xml:space="preserve"> </w:t>
      </w:r>
    </w:p>
    <w:p>
      <w:pPr>
        <w:pStyle w:val="Heading2"/>
      </w:pPr>
      <w:r>
        <w:t>Methodology</w:t>
      </w:r>
    </w:p>
    <w:p>
      <w:r>
        <w:t>1) Data preparation: collect the SpiceNetlist real set (775 annotated circuits). Build a synthetic generator that enforces invariants: unique net names, conductive net continuity, Kirchhoff node consistency, explicit ground, port-to-component bijection, transistor body ties, and pass deterministic parser checks. Produce a synthetic corpus ≈5× real (~3.9k) and reserve 20% as synthetic validation. Store every example in canonical JSON with fields: circuit_id, components, ports, nets, canonical_netlist_text, conversion_confidence, retrieval_provenance, parser_log. 2) Netlist Babel Fish (RAG): index canonical examples with hybrid retrieval (FAISS dense + BM25 sparse), k=5. Use a local LLM for sensitive data and a hosted fallback. RAG prompt emits only the canonical JSON schema; record LLM log-probs and retrieval similarities. Calibrate conversion_confidence on a holdout with temperature scaling and fall back to isotonic regression if needed. 3) SEAL-style subgraph extraction: for each candidate port-pair extract a subgraph induced by nodes within hop h=2 (primary) and h=3 for ablation; apply DRNL (double-radius node labeling) to mark distances to the two target ports; truncate to max_subgraph_nodes=200 by BFS order that preserves shortest-paths to targets. 4) GNN model: GIN backbone with 4 layers, hidden_dim=192, dropout=0.2, sum aggregator, edge-aware message function, attention pooling readout. Classifier: 2-layer MLP 256→128 with GELU nonlinearity. Seed all RNGs. 5) Training: optimizer AdamW lr=1e-3 with cosine decay, weight_decay=1e-4, batch_size=256 subgraphs, epochs=100, early stopping patience=10. Use mixed negative sampling per batch: 50% distance-limited (2–3 hops), 30% degree-aware, 20% adversarial hard negatives mined after epoch 10; default positive:negative =1:1 and ablate 1:3. 6) Loss and weighting: binary cross-entropy loss weighted by calibrated_confidence c using sample_weight = 0.7*c + 0.3 (alpha ablations {0,0.5,0.7,1}). Log all artifacts for reproducibility.</w:t>
      </w:r>
    </w:p>
    <w:p>
      <w:r>
        <w:t xml:space="preserve"> </w:t>
      </w:r>
    </w:p>
    <w:p>
      <w:pPr>
        <w:pStyle w:val="Heading2"/>
      </w:pPr>
      <w:r>
        <w:t>Experiments</w:t>
      </w:r>
    </w:p>
    <w:p>
      <w:r>
        <w:t>Datasets: real SpiceNetlist (N=775), synthetic pretrain (~3.9k), train/val/test splits deterministic seeds 70/15/15. Evaluation splits stratified by circuit type. Baselines: (A) rule-based net-sharing heuristic, (B) topology-only GNN (whole-graph, no subgraphs), (C) node-embedding-only GNN (no subgraph labeling), (D) GNN with lexical/token embeddings from Netlist Babel Fish but without calibration, (E) full GNN-ACLP (SEAL-style + RAG + calibration). Metrics: per-port Average Precision (AP), AUC-ROC, precision@10 and @50, recall@k, MRR, circuit-level functional recovery rate (binary and continuous), Expected Calibration Error and Brier score for conversion_confidence. Circuit-level QOIs: gain (dB), bandwidth (%), phase margin (°), DC node voltage (tolerance max(5% or 10 mV)), AC RMSE ≤5% (~0.2 dB), transient NRMSE ≤5%. Experimental setup: train with seeds {42,2024,31415}, repeat each main run 3 times for variance; hardware A100 GPUs; pretrain ≈300 GPU-hours, finetune ≈30 GPU-hours. Ablation studies: (1) hop h=2 vs h=3; (2) max_subgraph_nodes 200 vs 100 vs 400; (3) negative-sampling mixes (vary proportions and 1:1 vs 1:3); (4) synthetic pretrain sizes {1×,3×,5×,10×}; (5) sample_weight alpha ∈ {0,0.5,0.7,1}; (6) remove RAG embeddings; (7) DRNL vs WL vs no labeling. OOD tests: pin reordering, anonymized IDs, unit corruption, added parasitics (C:1–10 pF, R:0.1–10 Ω), random edge add/delete (1–10%), and scale-up graphs (2×, 5× nodes). Statistical analysis: report mean±std over runs, use paired bootstrap 95% CI for AP differences and paired t-test (alpha=0.05) to assess significance. Required comparison: show full GNN-ACLP AP improvement ≥0.05 over topology-only baseline in held-out test.</w:t>
      </w:r>
    </w:p>
    <w:p>
      <w:r>
        <w:t xml:space="preserve"> </w:t>
      </w:r>
    </w:p>
    <w:p>
      <w:pPr>
        <w:pStyle w:val="Heading2"/>
      </w:pPr>
      <w:r>
        <w:t>Risk Factors And Limitations</w:t>
      </w:r>
    </w:p>
    <w:p>
      <w:r>
        <w:t>1) LLM hallucination and parser failures: RAG may produce incorrect canonical JSON or swap pin orders; such errors corrupt training labels. 2) Synthetic label noise: generator may produce electrically implausible circuits despite checks; label-noise could bias the model. 3) Calibration failure: conversion_confidence calibration may not generalize to OOD netlists, misweighting samples. 4) Data bias: 775 real circuits may not cover rare components or topologies; models may not generalize to unseen component classes. 5) Scalability: SEAL extraction and GNN inference for very large circuits (&gt;10k nodes) may exceed GPU memory and require graph partitioning not covered here. 6) Compute and cost limits: pretraining and large ablation grid require substantial GPU-hours. 7) Evaluation limits: SPICE spot-checks sample small subsets and may miss subtle functional failures; circuit-level recovery as defined may not capture all functional aspects. 8) Legal/IP constraints: foundry or proprietary netlists may restrict dataset release and limit reproducibility. 9) Annotation errors and adjudication bottlenecks: double annotation may still produce residual disagreement and slow scaling. 10) Statistical power: detecting small AP deltas requires careful sample-size planning; limited real-data size constrains statistical confidence.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