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facebook_rural_cancer_prevention</w:t>
      </w:r>
    </w:p>
    <w:p>
      <w:r>
        <w:t xml:space="preserve"> </w:t>
      </w:r>
    </w:p>
    <w:p>
      <w:pPr>
        <w:pStyle w:val="Heading2"/>
      </w:pPr>
      <w:r>
        <w:t>Title</w:t>
      </w:r>
    </w:p>
    <w:p>
      <w:r>
        <w:t>A mixed-methods randomized pilot trial of a Facebook-delivered web intervention to reduce multiple cancer risk behaviors among rural emerging adults</w:t>
      </w:r>
    </w:p>
    <w:p>
      <w:r>
        <w:t xml:space="preserve"> </w:t>
      </w:r>
    </w:p>
    <w:p>
      <w:pPr>
        <w:pStyle w:val="Heading2"/>
      </w:pPr>
      <w:r>
        <w:t>Short Hypothesis</w:t>
      </w:r>
    </w:p>
    <w:p>
      <w:r>
        <w:t>Randomization to the co-created, theory-based Facebook intervention will cause a greater reduction in past-30-day tobacco/vaping days at 12 weeks compared with randomization to an attention-control Facebook group.</w:t>
      </w:r>
    </w:p>
    <w:p>
      <w:r>
        <w:t xml:space="preserve"> </w:t>
      </w:r>
    </w:p>
    <w:p>
      <w:pPr>
        <w:pStyle w:val="Heading2"/>
      </w:pPr>
      <w:r>
        <w:t>Related Work</w:t>
      </w:r>
    </w:p>
    <w:p>
      <w:r>
        <w:t>Prior work has tested web-based health interventions delivered via social media, often using Facebook groups, co-creation with target users, and behavior-change theory. Existing approaches show promise for reach and engagement but typically focus on single behaviors, use small non-representative samples, and lack joint modeling of multiple correlated outcomes. Many studies do not formally account for clustering caused by group delivery or prospectively measure and analyze contamination across groups. Technical gaps include incomplete plans for secure ingestion of platform data, PHI redaction, API contingency, and adaptations for participants with limited connectivity. Methods to estimate group ICCs to inform definitive trials, integrated mediation analysis across multiple behaviors, and operational composite risk scores are often absent or under-specified.</w:t>
      </w:r>
    </w:p>
    <w:p>
      <w:r>
        <w:t xml:space="preserve"> </w:t>
      </w:r>
    </w:p>
    <w:p>
      <w:pPr>
        <w:pStyle w:val="Heading2"/>
      </w:pPr>
      <w:r>
        <w:t>Abstract</w:t>
      </w:r>
    </w:p>
    <w:p>
      <w:r>
        <w:t>Rural emerging adults have multiple modifiable cancer risk behaviors and face access and connectivity barriers to prevention services. This study develops and pilots a community-engaged, theory-driven web intervention delivered primarily through closed Facebook groups and mirrored via SMS and a private web portal. Content is co-created with emerging adults and stakeholders and mapped to behavior-change techniques targeting six risk behaviors, with past-30-day tobacco/vaping frequency designated as the primary outcome. In a randomized pilot (N=120) participants will join arm-specific closed groups and receive moderated, tailored posts over 8 weeks. Data sources include REDCap surveys, Facebook engagement logs, and objective HPV verification. Primary analysis uses a multilevel negative binomial model with random intercepts for group and participant; secondary analysis uses a multivariate mixed-effects model for six correlated behaviors and mediation models for theorized mechanisms. Expected contributions are feasibility estimates, ICCs for engagement and outcomes, validated PHI redaction workflows, and signals of behavioral change to inform a definitive trial.</w:t>
      </w:r>
    </w:p>
    <w:p>
      <w:r>
        <w:t xml:space="preserve"> </w:t>
      </w:r>
    </w:p>
    <w:p>
      <w:pPr>
        <w:pStyle w:val="Heading2"/>
      </w:pPr>
      <w:r>
        <w:t>Methodology</w:t>
      </w:r>
    </w:p>
    <w:p>
      <w:r>
        <w:t>1) Co-creation and content: conduct focus groups and co-creation workshops with rural emerging adults to produce module content mapped to behavior-change techniques (BCTs). 2) Recruitment and enrollment: recruit 18-25 year-old rural residents, apply quotas for underrepresented groups and low-connectivity households, obtain REDCap consent including clinic-verification permission for HPV. 3) Randomization and delivery: individually randomize to intervention or attention-control; host closed Facebook groups by arm (8-10 groups, ~12-15 participants each). Deliver intervention posts 3-5 times per week for 8 weeks. Mirror key content via SMS and private portal for non-Facebook users. 4) Moderation and fidelity: train moderators with observed role-plays and a fidelity rubric; log interactions in REDCap. 5) Data collection: baseline, midline (6 weeks) mediator survey, and outcome follow-up (12 weeks). Collect Facebook engagement via Graph API when available or daily manual exports; store raw exports on secure server. 6) PHI redaction: automated regex plus named-entity recognition (NER) tuned for social text followed by manual review of flagged items and a random sample of unflagged items. 7) Analysis models: primary model is a multilevel negative binomial regression for tobacco-days with random intercepts for group and participant; secondary uses a multivariate mixed-effects model for six behaviors; mediation via longitudinal multilevel mediation (baseline -&gt; midline mediator -&gt; 12-week outcome). 8) Missing data: use multilevel multiple imputation that respects clustering and mixed outcome types. 9) Security: webhook with HTTPS and token authentication, AES-256 at rest, role-based access, and audit logs. Definitions: negative binomial is a model for count data with overdispersion; random intercepts allow group-level and participant-level baseline differences.</w:t>
      </w:r>
    </w:p>
    <w:p>
      <w:r>
        <w:t xml:space="preserve"> </w:t>
      </w:r>
    </w:p>
    <w:p>
      <w:pPr>
        <w:pStyle w:val="Heading2"/>
      </w:pPr>
      <w:r>
        <w:t>Experiments</w:t>
      </w:r>
    </w:p>
    <w:p>
      <w:r>
        <w:t>Dataset: pilot sample N=120 rural emerging adults aged 18-25, stratified by baseline tobacco use (user/non-user) and connectivity (low/high). Instruments: past-30-day tobacco/vaping days (count), AUDIT-C and binge episodes, NCI fruit/veg screener, IPAQ-short, YRBS tanning items, HPV self-report plus clinic verification. Arms: (A) Facebook intervention (co-created, tailored posts + moderator + SMS/portal mirror) and (B) Attention-control Facebook group (neutral health content, same posting cadence). Ablation studies: (1) personalization ablation where posts are generic not tailored by stage-of-change, (2) delivery modality ablation comparing Facebook arm to SMS+portal-only subset. Randomization: individual-level with blocked randomization; groups created per arm for delivery. Timeline: baseline, midline at 6 weeks, final at 12 weeks. Primary outcome and analysis: change in past-30-day tobacco/vaping days at 12 weeks analyzed with multilevel negative binomial regression estimating incidence rate ratio (IRR) for arm effect, adjusting for baseline tobacco days and covariates, with random intercepts for group and participant. Secondary analyses: multivariate mixed-effects model jointly modeling six behaviors to estimate multivariate treatment effects; composite risk score comparison using pre-specified weighting schemes; mediator analysis using multilevel mediation to estimate natural indirect effects. Engagement and process outcomes: mean active interactions/week, percent planned posts delivered, moderator response latency, ICC estimates with bootstrap 95% CIs. Missing data: multilevel multiple imputation (mice or pan) and pattern-mixture sensitivity analyses. Software: R with glmmTMB or lme4 for mixed models, mice/pan for imputation, and custom Monte Carlo scripts (1,000-5,000 iterations) for precision/power scenarios. Evaluation metrics: primary IRR with 95% CI and p-value, retention rate at 12 weeks, mean engagement/week, ICCs for outcomes, mediator indirect effect estimates with standard errors. Comparison: report arm effect, personalization ablation effect, and modality ablation effect with the same models.</w:t>
      </w:r>
    </w:p>
    <w:p>
      <w:r>
        <w:t xml:space="preserve"> </w:t>
      </w:r>
    </w:p>
    <w:p>
      <w:pPr>
        <w:pStyle w:val="Heading2"/>
      </w:pPr>
      <w:r>
        <w:t>Risk Factors And Limitations</w:t>
      </w:r>
    </w:p>
    <w:p>
      <w:r>
        <w:t>1) Small pilot sample: estimates may be imprecise and underpowered for small effects. 2) Low engagement: if participants do not interact, measured dose will be low and intervention effects may be absent. 3) Contamination: participant cross-arm exposure could bias estimates; strong cross-arm social ties reduce interpretability. 4) Platform access: Meta app review or API denial could force manual exports or a pivot to portal/SMS, altering delivery fidelity. 5) PHI redaction failures: automated tools tuned on social text may miss PHI or produce false positives; manual review increases labor and privacy exposure. 6) Measurement error: self-reported behaviors can be biased; HPV verification depends on clinic cooperation. 7) Generalizability: findings apply to rural emerging adults who enroll and consent to social-media research and may not generalize to other age groups or urban populations. 8) Model misspecification: negative binomial or multivariate models may not fit if zero inflation or non-standard distributions dominate. 9) Equity and recruitment risk: quotas may not be met on timetable, yielding biased samples. 10) Regulatory and legal constraints: data use agreements or IRB limits could restrict data linkage or retention, affecting analysis.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