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a2ar_cp_csf_hydrocephalus</w:t>
      </w:r>
    </w:p>
    <w:p>
      <w:r>
        <w:t xml:space="preserve"> </w:t>
      </w:r>
    </w:p>
    <w:p>
      <w:pPr>
        <w:pStyle w:val="Heading2"/>
      </w:pPr>
      <w:r>
        <w:t>Title</w:t>
      </w:r>
    </w:p>
    <w:p>
      <w:r>
        <w:t>Investigation of adenosine A2A receptor signaling in choroid plexus as a driver of cerebrospinal fluid hypersecretion and ventriculomegaly in hydrocephalus using pharmacologic, genetic, electrophysiology, imaging and PK/PD methods</w:t>
      </w:r>
    </w:p>
    <w:p>
      <w:r>
        <w:t xml:space="preserve"> </w:t>
      </w:r>
    </w:p>
    <w:p>
      <w:pPr>
        <w:pStyle w:val="Heading2"/>
      </w:pPr>
      <w:r>
        <w:t>Short Hypothesis</w:t>
      </w:r>
    </w:p>
    <w:p>
      <w:r>
        <w:t>Aberrant activation of adenosine A2A receptors in the choroid plexus increases CSF secretion and causes ventricular enlargement via PI3K/AKT-dependent SPAK phosphorylation and NF-κB-dependent upregulation of ATP1A2, and pharmacologic A2A antagonism reduces CSF production and ventriculomegaly.</w:t>
      </w:r>
    </w:p>
    <w:p>
      <w:r>
        <w:t xml:space="preserve"> </w:t>
      </w:r>
    </w:p>
    <w:p>
      <w:pPr>
        <w:pStyle w:val="Heading2"/>
      </w:pPr>
      <w:r>
        <w:t>Related Work</w:t>
      </w:r>
    </w:p>
    <w:p>
      <w:r>
        <w:t>Prior studies report that A2A receptor activity in the choroid plexus modulates CSF secretion and that A2A antagonists can reduce CSF hypersecretion and ventricular enlargement. Existing work links A2A signaling to PI3K/AKT and SPAK pathway activation and to changes in ion transporters, and uses pharmacology or single-model genetic perturbations. Limitations of current approaches include incomplete mechanistic separation of fast (kinase/phosphorylation) versus slow (transcriptional) effects, reliance on single pharmacologic agents or single inhibitors that leave Gs–cAMP/PKA confounds, lack of validated phosphosite MS confirmation and antibody QC, inadequate PK/PD mapping to unbound choroid plexus exposure, limited cross-species functional translation (ATP1A isoform and ouabain sensitivity differences), sparse quantitative linking of electrophysiology (ΔIsc) to in vivo CSF flux, and scarce pediatric safety and occupancy data for istradefylline.</w:t>
      </w:r>
    </w:p>
    <w:p>
      <w:r>
        <w:t xml:space="preserve"> </w:t>
      </w:r>
    </w:p>
    <w:p>
      <w:pPr>
        <w:pStyle w:val="Heading2"/>
      </w:pPr>
      <w:r>
        <w:t>Abstract</w:t>
      </w:r>
    </w:p>
    <w:p>
      <w:r>
        <w:t>Hydrocephalus involves excess cerebrospinal fluid (CSF) and ventricular enlargement. We will test whether adenosine A2A receptor (A2AR) signaling in the choroid plexus drives CSF hypersecretion and ventriculomegaly via two parallel mechanisms: a fast PI3K/AKT→SPAK phosphorylation cascade that alters ion cotransport and a slower NF-κB→ATP1A2 transcriptional response that increases Na+/K+-ATPase activity. The approach combines acute and chronic pharmacology (A2AR agonists and antagonists including istradefylline), genetic perturbations (CRISPRi/KO and rescue constructs), validated phosphosite mass spectrometry, choroid plexus electrophysiology (Ussing chamber and Rb+ flux), in vivo ventriculo–cisternal perfusion and MRI volumetry, and a PK pilot to determine unbound choroid plexus exposure and receptor occupancy. Main contribution is a quantitative causal chain linking A2AR occupancy to molecular PD (p-AKT, p-SPAK, ATP1A2), electrophysiology (ouabain-sensitive current), CSF production rate, and ventricular volume. Expected outcome is a validated mechanistic model and translational exposure targets to assess A2AR antagonism as a therapy for hydrocephalus.</w:t>
      </w:r>
    </w:p>
    <w:p>
      <w:r>
        <w:t xml:space="preserve"> </w:t>
      </w:r>
    </w:p>
    <w:p>
      <w:pPr>
        <w:pStyle w:val="Heading2"/>
      </w:pPr>
      <w:r>
        <w:t>Methodology</w:t>
      </w:r>
    </w:p>
    <w:p>
      <w:r>
        <w:t>Overview: Run matched in vitro, ex vivo and in vivo experiments that separate fast phosphorylation events from slower transcriptional changes and map drug exposure to function. Key steps: 1) Prepare primary choroid plexus epithelial cell cultures, short-term explants, and iPSC-derived CP organoids. 2) Apply acute (5, 15, 30, 60 min) A2AR stimulation (CGS-21680) and blockade (istradefylline, ZM241385) and chronic treatments (6, 12, 24, 48 h). Acute readouts: Western blots and targeted PRM-MS for p-AKT (Ser473), p-SPAK activation loop, p-NKCC1 sites; real-time cAMP sensors (BRET/FRET) and PKA activity reporters. Chronic readouts: NF-κB nuclear translocation, p65 ChIP at ATP1A2 promoter, ATP1A2 mRNA and protein. 3) Use orthogonal inhibitors (alpelisib, capivasertib/MK-2206, BEZ235) and genetic tools (CRISPRi/KO for Adora2a, STK39, OXSR1, AKT1/2, ATP1A2, SLC12A2) plus rescue constructs (myr-AKT, SPAK T233E/T233A, NKCC1 phospho-mutants). 4) Functional assays: Ussing chamber short-circuit current (Isc) with ouabain and bumetanide sensitivity, 86Rb+ uptake or atomic emission Rb+ flux for NKCC1 and Na+/K+ pump flux, and explant fluid secretion volumetry. Explainers: Isc is electric current across epithelium measured to infer net ion transport; 86Rb+ measures potassium-like flux through transporters. 5) In vivo: run PK pilot (oral and i.c.v.) with plasma, CSF and microdissected CP sampling to compute unbound partition (Kp,uu) by equilibrium dialysis; perform ex vivo radioligand displacement on microdissected CP to build occupancy curves. 6) Imaging and physiology: ventriculo–cisternal perfusion to measure CSF production rate (µL·min−1), ICP telemetry, and 3D T2 MRI for ventricular volumes. 7) Data: targeted PRM peptide standards for phosphosites, standardized SOPs for assays, and PRM/WB acceptance criteria (localization &gt;0.75, PRM S/N&gt;10, CV&lt;20%).</w:t>
      </w:r>
    </w:p>
    <w:p>
      <w:r>
        <w:t xml:space="preserve"> </w:t>
      </w:r>
    </w:p>
    <w:p>
      <w:pPr>
        <w:pStyle w:val="Heading2"/>
      </w:pPr>
      <w:r>
        <w:t>Experiments</w:t>
      </w:r>
    </w:p>
    <w:p>
      <w:r>
        <w:t>Primary endpoint: percent change in lateral ventricle volume measured by 3D T2 MRI at 28 days after model induction. Secondary endpoints: CSF production rate by ventriculo–cisternal perfusion at day 7, ICP dynamics, p-AKT Ser473 and p-SPAK levels (PRM and validated Western), ATP1A2 mRNA/protein, and ouabain-sensitive Isc. Experimental models and datasets: A) Adult rat kaolin hydrocephalus model, groups: sham+vehicle, kaolin+vehicle, kaolin+istradefylline (therapeutic dose guided by PK), kaolin+istradefylline+PI3K inhibitor, kaolin+NF-κB inhibitor, and kaolin+Adora2a CRISPRi; n=12 per group for MRI endpoint. B) Neonatal rat IVH pilot to assess developmental response; n=10 per group for MRI. C) Primary human CP explants/organoids from surgical tissue (n≥3 donors per condition) for molecular and electrophysiology readouts. D) PK pilot rodents (PO 0.3,1,3,10 mg/kg and i.c.v. microdoses) with plasma/CSF/CP sampling at 0.25,0.5,1,2,4,8,24 h, n=3 per timepoint/dose. Baselines and controls: vehicle, CGS-21680 agonist, multiple A2AR antagonists (istradefylline, ZM241385), PI3K/AKT inhibitors (alpelisib, capivasertib), NF-κB inhibitor, Adora2a KO/CRISPRi. Electrophysiology setup: Ussing chamber Isc recorded continuously; include ouabain and bumetanide to isolate ATP1A2 and NKCC1 currents; replicate n≥6 cultures per condition and n≥6 explants/animals for correlation to in vivo CSF. Omics: bulk RNA-seq (n=4–6 per condition), targeted phosphoproteomics PRM for p-sites (n=4), and single-nucleus RNA-seq (n=3 donors) for cell-type specificity. Evaluation metrics: MRI percent volume change, CSF production µL·min−1, ICP mean and waveform features, percent change in p-site abundance (PRM), ATP1A2 fold change, ouabain-sensitive Isc (µA·cm^-2), Rb+ flux rates. Comparisons and ablation studies: 1) pharmacology vs genetic Adora2a KO to test on-target effect; 2) PI3K/AKT blockade vs NF-κB blockade to dissociate fast phosphorylation vs transcriptional pathways; 3) istradefylline dose–occupancy–PD mapping to relate unbound CP concentration to p-AKT/p-SPAK and ΔIsc; 4) ablation of SPAK/OSR1 and rescue with phospho-mimetic SPAK to test necessity and sufficiency. Statistical plan: mixed-effects model for MRI with fixed terms (treatment, sex, baseline volume) and random intercepts for animal cohort; alpha=0.05 two-sided; provisional power uses n=12 for ~80% power to detect 20–30% ventricular volume change given pilot variance estimates.</w:t>
      </w:r>
    </w:p>
    <w:p>
      <w:r>
        <w:t xml:space="preserve"> </w:t>
      </w:r>
    </w:p>
    <w:p>
      <w:pPr>
        <w:pStyle w:val="Heading2"/>
      </w:pPr>
      <w:r>
        <w:t>Risk Factors And Limitations</w:t>
      </w:r>
    </w:p>
    <w:p>
      <w:r>
        <w:t>Antibody and phosphosite specificity may fail, producing ambiguous p-site readouts. Species differences in ATP1A isoform expression and ouabain sensitivity may limit translation from rodents to humans and to juvenile models. PET imaging of CP A2AR may be infeasible due to low target density or partial-volume effects. Achieving target unbound CP occupancy may require exposures that cause off-target or safety liabilities. Human CP tissue availability and donor variability are limited. Conversion of ΔIsc to in vivo CSF flux depends on epithelial permeability assumptions and may not generalize; paired calibration may not fully remove uncertainty. Compensatory pathways (A1/A2B receptors, WNK isoforms, alternative transporters) could mask effects. MRI and CSF measurements have inter-subject variability that may increase required sample sizes. Pediatric safety concerns (developmental neurotoxicity, cardiac/autonomic effects, CYP interactions) may constrain doses and slow translation. Computational and assay resources for PRM-MS, PET, and juvenile GLP studies are intensive and may limit throughput.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