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lab_error_ttp_3yr</w:t>
      </w:r>
    </w:p>
    <w:p>
      <w:r>
        <w:t xml:space="preserve"> </w:t>
      </w:r>
    </w:p>
    <w:p>
      <w:pPr>
        <w:pStyle w:val="Heading2"/>
      </w:pPr>
      <w:r>
        <w:t>Title</w:t>
      </w:r>
    </w:p>
    <w:p>
      <w:r>
        <w:t>Three-year retrospective descriptive analysis using capture-recapture and Six Sigma metrics to quantify laboratory testing errors across the total testing process in a general hospital</w:t>
      </w:r>
    </w:p>
    <w:p>
      <w:r>
        <w:t xml:space="preserve"> </w:t>
      </w:r>
    </w:p>
    <w:p>
      <w:pPr>
        <w:pStyle w:val="Heading2"/>
      </w:pPr>
      <w:r>
        <w:t>Short Hypothesis</w:t>
      </w:r>
    </w:p>
    <w:p>
      <w:r>
        <w:t>After adjusting for underreporting and misclassification, pre-analytical phase errors occur at a higher rate than analytical and post-analytical phase errors (pre-analytical rate / other phases rate &gt; 1.2) over the three-year period.</w:t>
      </w:r>
    </w:p>
    <w:p>
      <w:r>
        <w:t xml:space="preserve"> </w:t>
      </w:r>
    </w:p>
    <w:p>
      <w:pPr>
        <w:pStyle w:val="Heading2"/>
      </w:pPr>
      <w:r>
        <w:t>Related Work</w:t>
      </w:r>
    </w:p>
    <w:p>
      <w:r>
        <w:t>Previous studies of laboratory quality consistently report that most errors arise in the pre-analytical phase, often due to specimen collection, labeling, transport, and handling. Many prior analyses compute crude error proportions or rates without formally adjusting for underreporting or misclassification, which biases estimates downward. Some work uses Six Sigma conversions (DPMO → Z → sigma) to benchmark performance, but these studies often omit uncertainty propagation and fail to integrate multiple data sources (incident systems, LIS rejection flags, QC logs). Limitations in existing approaches include sparse overlap between reporting sources (which destabilizes capture–recapture estimates), inconsistent error taxonomies across teams, lack of structured adjudication with measured interrater reliability, and absent stratified validation with weighting to correct misclassification. These gaps reduce confidence in phase-level comparisons and in targeted quality-improvement prioritization.</w:t>
      </w:r>
    </w:p>
    <w:p>
      <w:r>
        <w:t xml:space="preserve"> </w:t>
      </w:r>
    </w:p>
    <w:p>
      <w:pPr>
        <w:pStyle w:val="Heading2"/>
      </w:pPr>
      <w:r>
        <w:t>Abstract</w:t>
      </w:r>
    </w:p>
    <w:p>
      <w:r>
        <w:t>Laboratory testing errors threaten patient safety and quality but are poorly quantified when relying on a single reporting source. We propose a three-year retrospective descriptive study that integrates incident reports, laboratory information system (LIS) test volumes, LIS rejection/duplicate flags, and instrument/QC logs to identify and quantify errors across pre-analytical, analytical, and post-analytical phases. The approach uses capture–recapture to estimate reporting completeness, a stratified validation sample (10% with oversampling of top error types and high-risk tests) to correct misclassification, and bootstrap resampling to propagate uncertainty through DPMO and Six Sigma conversions. Primary analysis models will estimate errors per 1,000 tests by phase using Poisson (or negative binomial) regression with offset = log(tests). Deliverables include an adjudication manual, reproducible ETL and analysis code, and SPC templates for intervention monitoring. Expected outcomes are robust, uncertainty-aware phase- and analyte-specific error rates, sigma metrics, and prioritized targets for focused quality-improvement pilots.</w:t>
      </w:r>
    </w:p>
    <w:p>
      <w:r>
        <w:t xml:space="preserve"> </w:t>
      </w:r>
    </w:p>
    <w:p>
      <w:pPr>
        <w:pStyle w:val="Heading2"/>
      </w:pPr>
      <w:r>
        <w:t>Methodology</w:t>
      </w:r>
    </w:p>
    <w:p>
      <w:r>
        <w:t>Data sources and extraction: pull three years of incident reports, LIS test result counts (denominators), LIS rejection/duplicate-sample flags, instrument/QC logs, and minimal PHI as needed for linkage. ETL: join records by accession, specimen_id, order_id, and hashed MRN; harmonize test codes (LOINC), standardize timestamps, and log provenance. Taxonomy and unit: classify errors by total testing process (TTP) phase—pre-analytical, analytical, post-analytical—with enumerated subtypes; unit of analysis is test-level result (one opportunity per analyte). Capture–recapture: create binary presence indicators across at least two independent sources (incident system, LIS flags, QC logs) and fit log-linear models (independence, pairwise interactions, full three-way) to estimate completeness; where overlaps are sparse, use Bayesian log-linear models with weakly informative priors (normal on log-count interactions). Validation sampling: draw a stratified 10% sample overall, oversample top 10% error types and specified high-risk analytes, enforce minimum n≈400; perform dual independent adjudication with measured kappa. Misclassification correction: compute inverse-probability weights from sampling probabilities and reweight observed counts. Uncertainty propagation: bootstrap resample incident counts, denominators, capture–recapture estimates, and validation corrections (e.g., 10,000 iterations) to produce empirical CIs for DPMO → Z → Sigma. Analysis models: Poisson regression with offset = log(tests); use negative binomial if overdispersion. Report unshifted sigma as primary and 1.5σ-shifted sigma in sensitivity. Outputs: phase- and analyte-level DPMO, sigma with CIs, co-occurrence matrices, and SPC templates. Simple explanations: DPMO = defects per million opportunities (error count / tests × 1,000,000); capture–recapture estimates how many errors were missed by combining multiple lists; bootstrap resamples data many times to show uncertainty.</w:t>
      </w:r>
    </w:p>
    <w:p>
      <w:r>
        <w:t xml:space="preserve"> </w:t>
      </w:r>
    </w:p>
    <w:p>
      <w:pPr>
        <w:pStyle w:val="Heading2"/>
      </w:pPr>
      <w:r>
        <w:t>Experiments</w:t>
      </w:r>
    </w:p>
    <w:p>
      <w:r>
        <w:t>Datasets: (1) three years of hospital laboratory incident reports with narratives and timestamps, (2) LIS monthly test counts per analyte (denominators), (3) LIS rejection/duplicate flags, (4) instrument/QC logs with downtime and QC failures. Baselines: A. crude reported error rates (errors / tests), B. reported DPMO converted to sigma without adjustments. Proposed experiments: 1) Primary comparison: estimate phase-level error rates per 1,000 tests using Poisson regression with offset = log(tests); test rate differences between phases with likelihood ratio tests. 2) Adjustment ablation study: compute rates and sigma for (i) unadjusted reports, (ii) adjusted by validation misclassification only, (iii) adjusted by capture–recapture only, and (iv) combined adjustment (capture–recapture + validation weights). Compare estimates and 95% bootstrap CIs across these four conditions. 3) Overlap-sparsity sensitivity: run log-linear CCR models (independence; pairwise interactions; full) and a Bayesian CCR with weakly informative priors; report how completeness estimates change; if overlap cells &lt;10 classify as fragile and present range of plausible completeness (e.g., 60–90%). 4) Adjudication reliability: measure interrater agreement (Cohen’s or Fleiss’ kappa) on 10% random overlap of validation sample; require kappa reported with 95% CI. 5) Analyte-specific secondary analyses: compute analyte-level DPMO and sigma for top 10 high-volume or high-risk tests (e.g., potassium, troponin, blood cultures). Evaluation metrics: errors per 1,000 tests, DPMO, sigma with bootstrap 95% CIs, rate ratios with 95% CIs, kappa for adjudication, AIC/BIC for CCR model selection. Experimental setup details: validation sample = stratified 10% of records (min n=400); bootstrap iterations = 10,000; multiple testing: hierarchical testing for three pre-specified hypotheses and Benjamini–Hochberg for exploratory subgroups; software: R/Python scripts versioned in a container. Ablation comparison: report percent change between unadjusted and fully adjusted sigma and test statistical significance of differences using bootstrap percentile intervals.</w:t>
      </w:r>
    </w:p>
    <w:p>
      <w:r>
        <w:t xml:space="preserve"> </w:t>
      </w:r>
    </w:p>
    <w:p>
      <w:pPr>
        <w:pStyle w:val="Heading2"/>
      </w:pPr>
      <w:r>
        <w:t>Risk Factors And Limitations</w:t>
      </w:r>
    </w:p>
    <w:p>
      <w:r>
        <w:t>Underreporting and sparse overlap: capture–recapture requires sufficient overlap between sources; sparse cells (&lt;5–10) yield unstable completeness estimates. Misclassification bias: adjudication may be imperfect; reliability depends on training and kappa; biased validation sample reduces correction validity. IRB and linkage limits: inability to link to outcome data may force reliance on severity grades rather than measured harm. Timestamp and ETL errors: missing or inaccurate timestamps can misclassify phase and obstruct temporal analyses. Subjective severity weights: chosen weights influence risk prioritization and are not fully objective. Generalizability: single-hospital data limit external validity to other institutions with different workflows. Computational cost: bootstrap with combined corrections and Bayesian CCR models can be compute-intensive. Resource constraints: manual adjudication and active surveillance require staff time and may limit validation size. Multiplicity and sparse subgroups: many subgroup tests increase false discovery risk and small strata reduce power.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