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lab_errors_trc_2021_2023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Retrospective three-year descriptive and six-sigma analysis with capture–recapture adjustment of laboratory testing errors across the total testing process in a Thai Red Cross general hospital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a standardized ISO/CLSI taxonomy with capture–recapture adjustment and EHR-linked outcome attribution will reveal a higher true laboratory error rate than incident logs alone and will show pre-analytical errors comprise the largest preventable share of total errors.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studies on laboratory errors typically analyze incident/quality logs or LIS events and report descriptive rates and sigma metrics. Common approaches rely on single-source reporting, inconsistent phase taxonomies, and limited linkage to clinical outcomes. Limitations include underreporting bias (many errors go unrecorded), lack of formal capture–recapture or matching-error adjustments, unstable sigma estimates for rare events, sparse use of standardized denominators (per-opportunity vs per-specimen), and inadequate NLP extraction from free-text narratives. Prior ITS or intervention evaluations often lack pre-specification of confounders, formal power calculations for small relative changes, and robust adjudication calibration. These gaps reduce accuracy of true error-rate estimation, obscure which phases/specimen sources drive preventable errors, and limit actionable quality-improvement targeting.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Laboratory testing errors harm patient care but are often undercounted and poorly characterized. We propose a retrospective descriptive study of laboratory error records (2021–2023) from a Thai Red Cross general hospital that combines a standardized ISO/CLSI phase taxonomy, two-source capture–recapture adjustment, six-sigma (DPMO/sigma) reporting, and EHR linkage for clinical outcomes. We will construct canonical denominators (per-opportunity, per-specimen), adjudicate severity and preventability with a calibrated rubric, and measure underreporting using Chapman estimators plus sensitivity analyses (three-source/log-linear and Bayesian models when needed). Narratives will be annotated and a transformer model fine-tuned to extract root causes. Main contributions are: (1) an adjusted estimate of true error rates by phase and specimen source; (2) reproducible rules for denominators, reporting thresholds for sigma, and adjudication; and (3) linked outcome attribution to quantify clinical impact. Expected outcomes include more accurate error-rate benchmarks, identification of top preventable failure modes, and prioritized targets for PDSA pilots.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extract 2021–2023 LIS transaction logs and incident reports, map local test codes to a canonical list, and define an "opportunity" as one ordered analyte result. Provide per-opportunity, per-specimen, and per-patient files. 2) Taxonomy and adjudication: apply ISO/CLSI phase definitions with mutually exclusive subcategories (pre-analytical: patient ID, wrong/insufficient specimen, tube/additive error, hemolysis/clotting, labeling, transport/temperature, order-entry; analytical: instrument malfunction, calibration/QC failure, reagent/lot issues, method interference, analyzer clerical error; post-analytical: transcription/reporting error, delayed reporting, failed critical-result notification, wrong units/ref-range, report routing). Use a 4-point severity scale (1 no harm near-miss; 2 potential harm/delay; 3 minor harm; 4 major harm) and 4-point preventability (1 not preventable; 2 unlikely; 3 possibly preventable; 4 definitely preventable). Include two concrete examples per level in the rubric. Dual independent reviewers perform adjudication; discordances go to a third reviewer; calibration pilot n=200, target kappa&gt;=0.7. 3) Underreporting estimation: primary method is Chapman two-source capture–recapture between incident logs and LIS-derived flags (repeat specimens, QC excursions, analyzer alarms). Pre-specify sensitivity analyses: three-source log-linear models, hierarchical/Bayesian models, and latent-class estimators when independence/equal-catchability fail. Address heterogeneity by stratifying on phase, specimen source, and month, and by adding interaction terms. Model selection uses AIC/BIC for log-linear fits and posterior predictive checks for Bayesian models. 4) Matching and linkage: produce irreversible HMAC(patient MRN with site key) + accession + normalized timestamps. Use deterministic matching on accession+HMAC and probabilistic Fellegi–Sunter on (hashed MRN, specimen date within 24 hours, specimen type, ordering unit) with weights. Thresholds: weight&gt;0.85 = match; 0.5–0.85 = clerical review; &lt;0.5 = nonmatch. Manually review a gold sample (~300 pairs) to estimate false-match/nonmatch rates and propagate uncertainty via multiple imputed match sets. 5) Metrics and sigma: compute error rates per 10,000 opportunities, DPMO = errors/opportunities*1,000,000, and convert to sigma via inverse-normal; report both raw sigma and conventional 1.5σ shift. Minimum reporting thresholds: only report sigma when opportunities &gt;=10,000 and error count &gt;=30; otherwise report exact Poisson rates with exact CIs as fallback. 6) NLP and missingness: annotate narratives for error_type, root_cause, staff_role, corrective_action (1,000–2,000 records), fine-tune a Thai/multilingual BERT, and report precision/recall/F1. Do not impute primary error counts. For covariates, use MICE with m=20 imputations (increase to m=50 if missingness&gt;30%), assess convergence via trace plots and R-hat where applicable, and run pattern-mixture/delta-adjustment sensitivity ranges (delta = ±0.1 to ±0.5 of the variable scale) for MNAR scenarios. 7) Modeling and pre-specifications: primary rate models are Poisson regressions with log(opportunities) offset; switch to negative-binomial if overdispersion detected (dispersion test). Account for clustering via mixed-effects random intercepts for ward/unit. ITS uses segmented regression with AR(1) errors or Newey-West SEs; include month indicators or Fourier terms for seasonality and covariates for monthly test volume, staffing, instrument/reagent changes, and pandemic waves. Declare primary endpoint a priori (see Experiments). 8) Reproducibility: produce analysis scripts, containerized environment (Docker) with package versions, and audit logs for adjudication; deliver aggregated dashboards and code under controlled access.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1) Datasets: cleaned LIS extracts and incident logs (2021–2023), monthly test-volume logs, instrument/reagent logs, de-identified EHR extracts for linkage windows 7/30/90 days (admission/discharge, ICD-10, procedures, medication orders/timing, ICU transfer, LOS, mortality), and narrative free-text exports for NLP. 2) Baselines: (A) recorded incident-log rates unadjusted; (B) LIS-flag rates unadjusted; (C) combined recorded rates adjusted by Chapman two-source capture–recapture. 3) Primary endpoint: adjusted overall error rate per 10,000 opportunities (capture–recapture estimate) across all phases. Secondary endpoints: phase-specific adjusted error rates, specimen-source rates, DPMO and sigma, proportion of errors rated definitely preventable, and clinical outcomes within 30 days (readmission, ICU transfer, mortality) attributed to errors. 4) Analyses: a) Compute recorded vs adjusted error rates overall and by phase; report 95% CIs and percent increase from recorded. b) Adjudication reliability: report Cohen's kappa from calibration pilot (n=200) and final dual-review sample. c) Matching performance: report sensitivity, specificity, positive predictive value from manual review (~300 pairs). d) Capture–recapture sensitivity: run Chapman two-source, three-source log-linear (compare AIC/BIC), and Bayesian hierarchical when sparse; report bootstrap/Credible intervals; test heterogeneity by stratifying on phase/specimen. e) Sigma validity: report sigma when opportunities&gt;=10,000 and errors&gt;=30; otherwise report exact Poisson rates with exact CIs. f) Outcome attribution: matched-cohort analysis using propensity-score matching (or IPW) to compare linked patients with error-associated results vs similar non-error controls; report hazard ratios from Cox models for time-to-event outcomes and 95% CIs. g) ITS and intervention evaluation: if a pilot intervention is implemented, perform segmented ITS with at least 24 pre-intervention and 12 post-intervention monthly points; report level and slope changes with robust SEs. h) NLP evaluation: split annotated data into train/validation/test (e.g., 70/15/15), report precision/recall/F1 per class, and confusion matrices. 5) Ablation studies: (i) compute adjusted error rates with and without capture–recapture (shows impact of adjustment); (ii) compute rates using per-opportunity vs per-specimen denominators; (iii) run outcome attribution with deterministic matching only vs probabilistic matching with multiple imputed match sets (assess impact of match uncertainty). 6) Power examples: use two-sided Poisson rate test alpha=0.05 power=0.8. For baseline error rate 1% (100 per 10,000): detecting 20% relative reduction (~0.8%) requires roughly 150,000–200,000 opportunities; detecting 30% reduction (~0.7%) requires roughly 50,000–80,000 opportunities. For ITS, require &gt;=24 pre-intervention monthly points and &gt;=12 post-intervention points to detect medium-sized changes. Exact sample-size tables will be produced from observed monthly volumes. 7) Software and metrics: implement analyses in R or Python, report AIC/BIC, dispersion tests, bootstrap CIs (10,000 resamples), kappa, precision/recall/F1, and hazard ratios with robust SEs.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Underreporting and identifiability: capture–recapture relies on overlap and assumptions; sparse overlaps or violations (dependence, heterogeneity) can bias estimates and make some strata non-identifiable. 2) Matching error: hashed identifiers and limited linking fields can produce false matches or missed matches; manual review sample may be insufficient to fully quantify error for all subgroups. 3) Small counts: sigma and DPMO are unstable for rare events; many low-volume tests may not meet reporting thresholds, limiting per-test conclusions. 4) Temporal confounding: concurrent system changes (instrument/reagent switches, staffing shifts, pandemic waves) may bias ITS estimates and causal claims. 5) Missingness: key covariates may be MNAR; imputation relies on MAR assumptions and MNAR sensitivity ranges may not capture true bias. 6) NLP limits: free-text narratives may be short, inconsistent, or in mixed languages, leading to class imbalance and poor model performance for rare categories. 7) Data governance delays: IRB/DUA or EHR access delays can limit linkage and outcome attribution. 8) Generalizability: findings from one hospital and its local test mix and workflows may not generalize to other settings. 9) Resource limits: large sample sizes required to detect small relative improvements may exceed feasible data or study periods.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