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anion_gap_lactate_sepsis_ed</w:t>
      </w:r>
    </w:p>
    <w:p>
      <w:r>
        <w:t xml:space="preserve"> </w:t>
      </w:r>
    </w:p>
    <w:p>
      <w:pPr>
        <w:pStyle w:val="Heading2"/>
      </w:pPr>
      <w:r>
        <w:t>Title</w:t>
      </w:r>
    </w:p>
    <w:p>
      <w:r>
        <w:t>Albumin-corrected anion gap as a predictor of elevated serum lactate in emergency department patients with sepsis without shock: a retrospective ROC and mixed-effects analysis</w:t>
      </w:r>
    </w:p>
    <w:p>
      <w:r>
        <w:t xml:space="preserve"> </w:t>
      </w:r>
    </w:p>
    <w:p>
      <w:pPr>
        <w:pStyle w:val="Heading2"/>
      </w:pPr>
      <w:r>
        <w:t>Short Hypothesis</w:t>
      </w:r>
    </w:p>
    <w:p>
      <w:r>
        <w:t>Higher albumin-corrected anion gap values measured in the emergency department predict the presence of serum lactate &gt;4.0 mmol/L in patients diagnosed with sepsis without shock.</w:t>
      </w:r>
    </w:p>
    <w:p>
      <w:r>
        <w:t xml:space="preserve"> </w:t>
      </w:r>
    </w:p>
    <w:p>
      <w:pPr>
        <w:pStyle w:val="Heading2"/>
      </w:pPr>
      <w:r>
        <w:t>Related Work</w:t>
      </w:r>
    </w:p>
    <w:p>
      <w:r>
        <w:t>Prior studies have evaluated anion gap (AG) as a marker of metabolic disturbance in sepsis and have reported associations between high AG and elevated lactate. Existing approaches commonly use uncorrected AG, sometimes exclude potassium, or report single-center thresholds without harmonizing lab assays or adjusting for albumin. Many prior analyses did not prespecify sensitivity-prioritized thresholds, did not account for clustering by patient or analyzer, and lacked clear rules for preanalytic sample handling and albumin timing. Limitations include reliance on single-site data, inconsistent AG formulas, inadequate treatment of missing albumin, limited adjustment for assay bias (POC vs central), and sparse reporting of calibration and decision-curve net benefit for operational use.</w:t>
      </w:r>
    </w:p>
    <w:p>
      <w:r>
        <w:t xml:space="preserve"> </w:t>
      </w:r>
    </w:p>
    <w:p>
      <w:pPr>
        <w:pStyle w:val="Heading2"/>
      </w:pPr>
      <w:r>
        <w:t>Abstract</w:t>
      </w:r>
    </w:p>
    <w:p>
      <w:r>
        <w:t>We address whether the albumin-corrected anion gap measured in the emergency department predicts clinically actionable hyperlactatemia in sepsis patients who present without shock. Using retrospective ED clinical and laboratory records, we will compute an albumin-corrected AG (including potassium) and evaluate its discrimination for lactate &gt;4.0 mmol/L (primary) and &gt;2.0 mmol/L (secondary) with ROC analysis. The main contribution is a prespecified, reproducible pipeline that harmonizes analyzer metadata, applies mixed-effects models to account for repeated visits and site/analyzer clustering, and derives a sensitivity-prioritized AG threshold (target sensitivity ≥90%) plus Youden threshold, with bootstrap CIs and decision-curve analysis. Expected outcomes are robust AUC estimates, validated AG cut-offs that balance detection and operational workload, and transparent rules for assay harmonization and albumin imputation. This work aims to inform rapid ED risk stratification when lactate is delayed or unavailable.</w:t>
      </w:r>
    </w:p>
    <w:p>
      <w:r>
        <w:t xml:space="preserve"> </w:t>
      </w:r>
    </w:p>
    <w:p>
      <w:pPr>
        <w:pStyle w:val="Heading2"/>
      </w:pPr>
      <w:r>
        <w:t>Methodology</w:t>
      </w:r>
    </w:p>
    <w:p>
      <w:r>
        <w:t>1) Cohort assembly: extract ED encounters with sepsis diagnosis using the prespecified diagnostic rule (operationalize per protocol) where AG and lactate were drawn within ±1 hour and within 3 hours of triage. Exclude encounters meeting septic shock rules (vasopressor prior to index labs or sustained MAP &lt;65 mmHg). 2) Derived variables: compute AG_inclK = (Na + K) − (Cl + HCO3), AG_exclK = Na − (Cl + HCO3), and AG_corr_inclK = AG_inclK + 2.5 × (4.0 − albumin[g/dL]). Ensure units standardized. 3) Assay metadata: attach lactate specimen type, analyzer model, POC vs central flag, draw and analysis times, and instrument CVs. 4) Primary analysis: fit ROC (DeLong CI) of AG_corr_inclK for lactate &gt;4.0 mmol/L; compute AUC and plot ROC. 5) Threshold selection: fix sensitivity at 90% to get specificity and report bootstrap (clustered) 95% CIs; report Youden index as secondary. 6) Modeling: run mixed-effects logistic regression with random intercepts for patient ID and site/analyzer; model AG continuously with restricted cubic splines (3 knots). 7) Missing data: if albumin or SOFA components &gt;5% missing use MICE with ≥20 imputations including outcome and auxiliary predictors. 8) Validation: temporal 70/30 split for train/test and clustered bootstrap (≥2,000 resamples) for CIs and optimism correction. 9) Sensitivity analyses: evaluate uncorrected AG, AG_exclK, alternate correction constants (2.0, 3.0), analyzer-stratified results, and albumin-imputed vs measured comparisons.</w:t>
      </w:r>
    </w:p>
    <w:p>
      <w:r>
        <w:t xml:space="preserve"> </w:t>
      </w:r>
    </w:p>
    <w:p>
      <w:pPr>
        <w:pStyle w:val="Heading2"/>
      </w:pPr>
      <w:r>
        <w:t>Experiments</w:t>
      </w:r>
    </w:p>
    <w:p>
      <w:r>
        <w:t>Datasets: retrospective ED clinical and lab records from participating hospitals covering the study period; include lab metadata. Inclusion: sepsis diagnosis, AG and lactate paired draws within ±1h and ≤3h from triage. Exclusions: septic shock criteria met prior to index labs, chronic dialysis, DKA, toxic ingestions per protocol. Baselines: (A) albumin-corrected AG_inclK (primary), (B) uncorrected AG_inclK, (C) AG_exclK, (D) SOFA score alone, (E) multivariable logistic model with age, CKD, albumin, SOFA, time-to-lab, and lactate type. Evaluation metrics: AUC (DeLong 95% CI), sensitivity, specificity, PPV, NPV, likelihood ratios, calibration intercept and slope, Brier score, decision-curve net benefit across prevalence scenarios, and false positives per true positive. Primary analysis: AUC of AG_corr_inclK for lactate &gt;4.0 mmol/L with DeLong CI; derive sensitivity-fixed threshold at 90% sensitivity and report specificity and bootstrap (clustered) 95% CIs (≥2,000 resamples). Secondary: repeat for lactate &gt;2.0 mmol/L. Modeling: mixed-effects logistic regression (random intercept patient and site/analyzer) and restricted cubic splines for AG. Validation: temporal 70/30 train/test split; report test-set performance and bootstrap optimism-corrected metrics. Ablations: (1) compare AG_corr_inclK vs AG_inclK and AG_exclK to quantify incremental AUC; (2) compare thresholds with and without albumin imputation to measure impact; (3) stratify POC vs central analyzers to assess calibration offsets. Power/sample-size: require minimum 100 events of lactate &gt;4.0 mmol/L; to estimate 90% sensitivity with ±5% 95% CI half-width require ~139 events (implying N≈1,112 at 12.5% prevalence). Report subgroup analyses only when subgroup contains ≥50 events. Report all results with clustered bootstrap CIs.</w:t>
      </w:r>
    </w:p>
    <w:p>
      <w:r>
        <w:t xml:space="preserve"> </w:t>
      </w:r>
    </w:p>
    <w:p>
      <w:pPr>
        <w:pStyle w:val="Heading2"/>
      </w:pPr>
      <w:r>
        <w:t>Risk Factors And Limitations</w:t>
      </w:r>
    </w:p>
    <w:p>
      <w:r>
        <w:t>1) Measurement error: analytic imprecision and preanalytic delays (glycolysis) can bias lactate and AG; assay heterogeneity (POC vs central) may limit generalizability. 2) Missing data: absent albumin or SOFA components may require imputation that can introduce bias. 3) Residual confounding: concurrent treatments (IV fluids, antibiotics) or unmeasured illness severity may confound associations; predictive aim does not imply causation. 4) Selection bias: retrospective ED data and exclusion of shock cases may limit applicability to other settings. 5) Small event counts: low prevalence of lactate &gt;4.0 mmol/L can reduce power, especially for subgroups. 6) Cluster dependence: multiple visits per patient and site-level effects require proper mixed modeling; failure to model clustering will misstate uncertainty. 7) External validity: thresholds derived here may not transfer to other hospitals or analyzers without calibration. 8) Computational limits: bootstrap with clustering and MICE with many imputations require compute resources and time. 9) Evaluation bias: decision-curve results depend on assumed prevalence and clinical weights, which may vary by setting.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