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triherbal_thromboinflammation_diabetes</w:t>
      </w:r>
    </w:p>
    <w:p>
      <w:r>
        <w:t xml:space="preserve"> </w:t>
      </w:r>
    </w:p>
    <w:p>
      <w:pPr>
        <w:pStyle w:val="Heading2"/>
      </w:pPr>
      <w:r>
        <w:t>Title</w:t>
      </w:r>
    </w:p>
    <w:p>
      <w:r>
        <w:t>Effects of a 1:1:1 aqueous triherbal extract of Moringa oleifera, Ocimum gratissimum and Vernonia amygdalina on thromboinflammatory blood markers in streptozotocin‑induced diabetic rats</w:t>
      </w:r>
    </w:p>
    <w:p>
      <w:r>
        <w:t xml:space="preserve"> </w:t>
      </w:r>
    </w:p>
    <w:p>
      <w:pPr>
        <w:pStyle w:val="Heading2"/>
      </w:pPr>
      <w:r>
        <w:t>Short Hypothesis</w:t>
      </w:r>
    </w:p>
    <w:p>
      <w:r>
        <w:t>Daily oral administration of a 1:1:1 aqueous extract blend of Moringa oleifera, Ocimum gratissimum and Vernonia amygdalina at 150 mg/kg for 28 days will reduce platelet activation (percent P‑selectin+ platelets) and lower circulating thromboinflammatory markers compared to diabetic control rats.</w:t>
      </w:r>
    </w:p>
    <w:p>
      <w:r>
        <w:t xml:space="preserve"> </w:t>
      </w:r>
    </w:p>
    <w:p>
      <w:pPr>
        <w:pStyle w:val="Heading2"/>
      </w:pPr>
      <w:r>
        <w:t>Related Work</w:t>
      </w:r>
    </w:p>
    <w:p>
      <w:r>
        <w:t>Prior preclinical work has tested individual herbal extracts and some blends for anti‑inflammatory or antithrombotic effects, often reporting reduced cytokines, platelet aggregation or improved coagulation parameters. Existing approaches typically use single‑plant preparations, inconsistent extraction methods, and variable dosing, and many studies rely on surrogate endpoints (e.g., whole blood cytokines or clotting times) rather than direct platelet activation markers. Major limitations are poor batch standardization, lack of validated aqueous marker quantitation, limited pharmacokinetic (PK) data linking exposure to effect, sparse inclusion of both sexes, and insufficient control for confounders such as endotoxin in herbal preparations. These gaps leave open whether a chemically‑standardized aqueous triherbal blend can reproducibly lower platelet activation in diabetic models with robust PK/PD linkage.</w:t>
      </w:r>
    </w:p>
    <w:p>
      <w:r>
        <w:t xml:space="preserve"> </w:t>
      </w:r>
    </w:p>
    <w:p>
      <w:pPr>
        <w:pStyle w:val="Heading2"/>
      </w:pPr>
      <w:r>
        <w:t>Abstract</w:t>
      </w:r>
    </w:p>
    <w:p>
      <w:r>
        <w:t>Diabetes increases risk of thrombosis and low‑grade inflammation (thromboinflammation). We propose to test whether a chemically‑defined 1:1:1 aqueous blend of Moringa oleifera, Ocimum gratissimum and Vernonia amygdalina reduces platelet activation and circulating thromboinflammatory markers in streptozotocin‑induced diabetic rats. The study will use a standardized extraction and batch‑release workflow, quantify three aqueous phytochemical markers by validated UHPLC‑MS/MS, and measure primary platelet activation by flow cytometry percent P‑selectin+ platelets. Secondary outcomes include platelet count, platelet–leukocyte aggregates, soluble P‑selectin, D‑dimer and inflammatory cytokines. Single‑dose PK of selected markers will link exposure (Cmax, AUC) to pharmacodynamic effects. The main contribution is an integrated, reproducible PK/PD and toxicology‑anchored preclinical test of a triherbal aqueous extract on thromboinflammation in diabetes. Expected outcome: evidence whether the blend reduces platelet activation and a dataset that enables translational dose anchoring and decision making for further development.</w:t>
      </w:r>
    </w:p>
    <w:p>
      <w:r>
        <w:t xml:space="preserve"> </w:t>
      </w:r>
    </w:p>
    <w:p>
      <w:pPr>
        <w:pStyle w:val="Heading2"/>
      </w:pPr>
      <w:r>
        <w:t>Methodology</w:t>
      </w:r>
    </w:p>
    <w:p>
      <w:r>
        <w:t>1) Extract preparation and QC: prepare aqueous extracts of each plant (standardized plant material), combine 1:1:1 by dry weight, freeze‑dry and produce characterization batches. Quantify three aqueous markers (glucomoringin or hydrolysis product for Moringa, rosmarinic acid for Ocimum, luteolin glycoside for Vernonia) by validated UHPLC‑MS/MS. Produce a Certificate of Analysis (CoA) with mg marker/g, moisture, microbial limits and endotoxin (recombinant Factor C assay). 2) Animal model and dosing: use adult Wistar rats of both sexes. Induce diabetes with a single IP streptozotocin (STZ) dose (55 mg/kg) after overnight fast; enroll rats with fasting glucose ≥250 mg/dL on two readings. Administer the blended extract by oral gavage once daily at 150 mg/kg for 28 days. Vehicle composition and gavage volume will be fixed (e.g., aqueous buffer) and recorded. 3) Toxicity screen: perform Lorke acute toxicity screen to bound tolerability before main study. 4) PK sampling: single‑dose PK of the blend markers with plasma times at pre, 0.25, 0.5, 1, 2, 4, 6, 8, 12 and 24 h. Analyze PK by noncompartmental methods to obtain Cmax (peak concentration) and AUC (total exposure). 5) Primary and secondary assays: measure platelet activation by flow cytometry (percent CD62P/P‑selectin+ within CD41+/CD61+ gate). Use validated ELISAs for soluble P‑selectin, D‑dimer and cytokines (IL‑6, TNF‑α). Automated CBC for platelet count and mean platelet volume (MPV); platelet–leukocyte aggregates by flow cytometry. 6) Preanalytic controls: use hirudin or PPACK for platelet activation assays, citrate for coagulation and EDTA for CBC; process platelet samples within 60 minutes. 7) Data analysis: primary comparison diabetic+blend vs diabetic control using ANCOVA adjusted for baseline percent P‑selectin; link PK exposure metrics (AUC, Cmax) to PD endpoints by regression or mixed models. (Technical terms explained: UHPLC‑MS/MS is a sensitive method to measure small molecules in plasma; flow cytometry counts and characterizes cells using labeled antibodies; ANCOVA is a statistical test that compares groups while adjusting for baseline differences.)</w:t>
      </w:r>
    </w:p>
    <w:p>
      <w:r>
        <w:t xml:space="preserve"> </w:t>
      </w:r>
    </w:p>
    <w:p>
      <w:pPr>
        <w:pStyle w:val="Heading2"/>
      </w:pPr>
      <w:r>
        <w:t>Experiments</w:t>
      </w:r>
    </w:p>
    <w:p>
      <w:r>
        <w:t>1) Experimental groups and sample size: Healthy control (vehicle), Diabetic control (vehicle), Diabetic + Blend (150 mg/kg), Diabetic + Metformin (glycemic comparator), Diabetic + Aspirin (antithrombotic comparator). Target n=16 per group (8 males + 8 females). Optional arms: three single‑plant arms (150 mg/kg) with n≥10 each. 2) Timeline and key timepoints: STZ induction → confirm diabetes (day 0 enrollment) → start extract dosing daily for 28 days → blood draws at baseline (pre‑dose), mid‑study optional, and terminal day 28 (24 h after last dose). PK single‑dose cohort sampled at pre, 0.25, 0.5, 1, 2, 4, 6, 8, 12, 24 h (plasma). 3) Primary endpoint: percent P‑selectin (CD62P)+ platelets by flow cytometry at day 28. 4) Secondary endpoints: platelet count, MPV, platelet–leukocyte aggregates, soluble P‑selectin, D‑dimer, IL‑6, TNF‑α, NET markers (MPO‑DNA, citrullinated histone H3), and PK metrics (Cmax, AUC0‑∞, t1/2). 5) Baselines and controls: baseline measures for each animal; healthy and comparator arms as described. 6) Assay details: flow cytometry gating to report percent positive and MFI; UHPLC‑MS/MS LLOQ for markers targeted 1–10 ng/mL; ELISAs validated for rat plasma. 7) Statistical analysis and metrics: primary test ANCOVA with model outcome_day28 ~ group + baseline + sex; multiple comparisons to diabetic control with Dunnett correction. Report adjusted mean differences, 95% CI, and p‑values. Define success as p&lt;0.05 and ≥20% relative reduction in percent P‑selectin. 8) Comparisons and ablation: a) Blend vs diabetic control primary comparison. b) Ablation study: blend versus each single‑plant arm to test whether blend effect exceeds any single plant. c) Dose response optional: if resources permit test blend at 75 and 300 mg/kg in pilot. 9) Data outputs: raw flow cytometry FCS files, LC‑MS raw files, CoA, ELISA plate data and processed CSV tables for statistical analysis.</w:t>
      </w:r>
    </w:p>
    <w:p>
      <w:r>
        <w:t xml:space="preserve"> </w:t>
      </w:r>
    </w:p>
    <w:p>
      <w:pPr>
        <w:pStyle w:val="Heading2"/>
      </w:pPr>
      <w:r>
        <w:t>Risk Factors And Limitations</w:t>
      </w:r>
    </w:p>
    <w:p>
      <w:r>
        <w:t>1) Extract variability: batch‑to‑batch differences in marker content may change effective dosing; lacking stable markers could limit dose normalization. 2) Low systemic marker levels: aqueous phytochemicals may have low oral bioavailability, producing plasma levels below LLOQ and breaking PK/PD linkage. 3) Endotoxin confounding: herbal extracts can contain endotoxin that increases inflammatory markers and mimics treatment effects. 4) Assay interference: colored or particulate extracts can interfere with automated hematology counters, ELISAs or flow cytometry fluorescence. 5) STZ model variability: individual differences in STZ response produce heterogeneous hyperglycemia and inflammation, increasing variance. 6) Sample size and sex effects: study may be underpowered for sex‑stratified inference despite balanced inclusion. 7) Translational limits: rodent metabolic and immune differences limit direct extrapolation to humans. 8) Regulatory and methodological critiques: Lorke acute toxicity may be questioned by regulators preferring OECD methods. 9) Operational limits: supply chain issues for rat‑validated antibodies, and resource limits for extensive PK or multi‑dose arms. 10) Data bias: potential missing data from humane endpoints or hemolyzed samples may bias results if not random.</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