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fcm_perceived_trust_covid_cdss</w:t>
      </w:r>
    </w:p>
    <w:p>
      <w:r>
        <w:t xml:space="preserve"> </w:t>
      </w:r>
    </w:p>
    <w:p>
      <w:pPr>
        <w:pStyle w:val="Heading2"/>
      </w:pPr>
      <w:r>
        <w:t>Title</w:t>
      </w:r>
    </w:p>
    <w:p>
      <w:r>
        <w:t>Quantifying clinicians' perceived trust in an interpretable COVID-19 clinical decision support system using fuzzy cognitive maps</w:t>
      </w:r>
    </w:p>
    <w:p>
      <w:r>
        <w:t xml:space="preserve"> </w:t>
      </w:r>
    </w:p>
    <w:p>
      <w:pPr>
        <w:pStyle w:val="Heading2"/>
      </w:pPr>
      <w:r>
        <w:t>Short Hypothesis</w:t>
      </w:r>
    </w:p>
    <w:p>
      <w:r>
        <w:t>Higher perceived_trust derived from aggregated fuzzy cognitive maps causally increases the probability that clinicians accept the CDSS recommendation, such that a one standard deviation increase in perceived_trust yields an odds ratio of acceptance ≥ 1.4.</w:t>
      </w:r>
    </w:p>
    <w:p>
      <w:r>
        <w:t xml:space="preserve"> </w:t>
      </w:r>
    </w:p>
    <w:p>
      <w:pPr>
        <w:pStyle w:val="Heading2"/>
      </w:pPr>
      <w:r>
        <w:t>Related Work</w:t>
      </w:r>
    </w:p>
    <w:p>
      <w:r>
        <w:t>Prior work has applied explainable and interpretable AI methods (GAMs, SHAP, counterfactuals) to make clinical models more transparent, and cognitive mapping methods including fuzzy cognitive maps (FCMs) have been used to represent experts' mental models. Existing approaches are limited in three ways: they rarely provide a reproducible pipeline to convert elicited cognitive maps into a single, validated trust score; they lack robust consensus and missing-data protocols for aggregating clinician maps; and they seldom link elicited mental models to observed decision behavior with pre-registered statistical models and psychometric validation. Furthermore, prior studies often mix explanation types without clear fidelity metrics and do not pre-specify sensitivity analyses for dynamic map-update choices (transfer functions, synchronous/asynchronous updates). These gaps limit interpretability, reproducibility, and the ability to predict real clinician behavior from elicited trust models.</w:t>
      </w:r>
    </w:p>
    <w:p>
      <w:r>
        <w:t xml:space="preserve"> </w:t>
      </w:r>
    </w:p>
    <w:p>
      <w:pPr>
        <w:pStyle w:val="Heading2"/>
      </w:pPr>
      <w:r>
        <w:t>Abstract</w:t>
      </w:r>
    </w:p>
    <w:p>
      <w:r>
        <w:t>We present a reproducible method to elicit, quantify, and validate clinicians' perceived trust in an interpretable clinical decision support system (CDSS) for COVID-19 diagnosis using fuzzy cognitive maps (FCMs). Clinicians draw weighted links among clinical concepts and trust-related nodes; we aggregate maps using element-wise median, run FCM dynamics to steady state, and compute a normalized perceived_trust scalar from selected trust nodes. Group-level consensus is assessed with Kendall's W and per-link reliability with ICC(3,1). We validate the perceived_trust scalar by predicting clinicians' accept/reject decisions with a pre-specified mixed-effects logistic model and by reporting construct validity (correlations with Likert trust) and explanation fidelity metrics. The contribution is a fully defined pipeline—elicitation UI, scaling rules, aggregation, dynamics, statistical tests, and reproducible artifacts—that converts interpretable model explanations into a testable trust measure linked to behavior. Expected outcomes include a validated perceived_trust metric, sensitivity bounds for analytic choices, and preregistration-ready artifacts for reproducible user studies.</w:t>
      </w:r>
    </w:p>
    <w:p>
      <w:r>
        <w:t xml:space="preserve"> </w:t>
      </w:r>
    </w:p>
    <w:p>
      <w:pPr>
        <w:pStyle w:val="Heading2"/>
      </w:pPr>
      <w:r>
        <w:t>Methodology</w:t>
      </w:r>
    </w:p>
    <w:p>
      <w:r>
        <w:t>1) Definitions (simple):</w:t>
        <w:br/>
        <w:t xml:space="preserve">   - Fuzzy Cognitive Map (FCM): a directed graph where nodes are clinical concepts and weighted links capture how one node influences another; weights range from -1 (strong negative) to +1 (strong positive).</w:t>
        <w:br/>
        <w:t xml:space="preserve">   - Perceived_trust scalar: a single number in [0,1] summarizing clinicians' trust derived from selected trust nodes in the FCM.</w:t>
        <w:br/>
        <w:t>2) Vignette preparation and scaling: create synthetic FHIR vignettes. Continuous features (SpO2, RR, CRP, days since onset) are min–max scaled per vignette type to [-1,+1] so higher means more concerning; categorical features encoded as -1/0/+1. Store original values.</w:t>
        <w:br/>
        <w:t>3) Elicitation UI: present vignette + explanation bundle (GAM partials, SHAP, counterfactuals) and a slider matrix for link weights (-1 to +1) with verbal anchors, a per-link confidence slider (0–1), and a "no-knowledge" NA option.</w:t>
        <w:br/>
        <w:t>4) Aggregation: form W_agg by element-wise median across clinicians (primary). Also compute confidence-weighted mean and NA→0 imputed mean for sensitivity.</w:t>
        <w:br/>
        <w:t>5) FCM dynamics: synchronous updates A(t+1)=tanh(A(t)+Σ_j W_ji*A_j(t)) with inputs initialized from scaled vignette features and internal nodes at 0; iterate until max|A(t+1)-A(t)|&lt;1e-3 or 50 iterations. (tanh is a saturating function keeping activations in [-1,1].)</w:t>
        <w:br/>
        <w:t>6) Perceived_trust calculation: select trust nodes T (perceived_reliability, perceived_usefulness, transparency, inverted_medico_legal_concern). Compute perceived_trust_raw = mean_k A_final_k and normalize to [0,1] via (perceived_trust_raw+1)/2.</w:t>
        <w:br/>
        <w:t>7) Reliability and consensus: compute Kendall's W on per-clinician ranks of absolute link weights; compute ICC(3,1) per link for test–retest reliability.</w:t>
        <w:br/>
        <w:t>8) Behavioral model: fit mixed-effects logistic regression for accept/reject with fixed effects (perceived_trust, experience, specialty, vignette_uncertainty, perceived_trust×experience) and random intercepts for clinician and vignette and random slope for perceived_trust by clinician.</w:t>
        <w:br/>
        <w:t>9) Sensitivity analyses: alternative transfer functions (logistic 0–1, linear), asynchronous or damped updates, alternative aggregation (mean, confidence-weighted), per-clinician normalization (divide by max|W_i|). 10) Reproducibility: release FHIR bundles, Docker pipeline, seeded RNG, R/Stan templates, and bootstrap/permutation seeds (n≥2000).</w:t>
      </w:r>
    </w:p>
    <w:p>
      <w:r>
        <w:t xml:space="preserve"> </w:t>
      </w:r>
    </w:p>
    <w:p>
      <w:pPr>
        <w:pStyle w:val="Heading2"/>
      </w:pPr>
      <w:r>
        <w:t>Experiments</w:t>
      </w:r>
    </w:p>
    <w:p>
      <w:r>
        <w:t>1) Data and participants:</w:t>
        <w:br/>
        <w:t xml:space="preserve">   - Pilot: synthetic-first approach and pilot with n=12–15 clinicians, each completing 8 clinical vignettes with randomized order and counterbalanced explanation granularity. Collect test–retest duplicates for ~20% (≥8) clinicians.</w:t>
        <w:br/>
        <w:t xml:space="preserve">   - Main: target n≈40 clinicians × 8 vignettes (minimum n=30) stratified by specialty and seniority.</w:t>
        <w:br/>
        <w:t>2) Baselines and ablations:</w:t>
        <w:br/>
        <w:t xml:space="preserve">   - Baseline A: no-FCM trust measure (post-task Likert trust). </w:t>
        <w:br/>
        <w:t xml:space="preserve">   - Baseline B: aggregated FCM using element-wise mean instead of median. </w:t>
        <w:br/>
        <w:t xml:space="preserve">   - Ablation 1: alternative transfer function (logistic 0–1). </w:t>
        <w:br/>
        <w:t xml:space="preserve">   - Ablation 2: per-clinician raw maps (no normalization) vs normalized maps (divide by max|W_i|).</w:t>
        <w:br/>
        <w:t xml:space="preserve">   - Ablation 3: signed-link aggregation handling (use signed median vs rank-by-|w| for Kendall's W).</w:t>
        <w:br/>
        <w:t>3) Evaluation metrics (technical):</w:t>
        <w:br/>
        <w:t xml:space="preserve">   - Consensus: Kendall's W with permutation test and bootstrap 95% CI (bootstrap n≥2000). Thresholds: W&lt;0.4 low, 0.4–0.7 moderate, ≥0.7 strong.</w:t>
        <w:br/>
        <w:t xml:space="preserve">   - Reliability: ICC(3,1) per link with bootstrap CI; target ICC≥0.70 for acceptable test–retest.</w:t>
        <w:br/>
        <w:t xml:space="preserve">   - Behavior prediction: mixed-effects logistic regression; report odds ratio per SD of perceived_trust, 95% CI, p-value, and model fit (WAIC or LOO).</w:t>
        <w:br/>
        <w:t xml:space="preserve">   - Construct validity: Spearman correlation between perceived_trust and Likert trust, acceptance rate, time-to-decision.</w:t>
        <w:br/>
        <w:t xml:space="preserve">   - Explanation fidelity: local surrogate fidelity (target &gt;0.8), explanation rank-stability (Spearman &gt;0.7), perturbation stability.</w:t>
        <w:br/>
        <w:t>4) Experimental setup:</w:t>
        <w:br/>
        <w:t xml:space="preserve">   - Randomize vignette order and explanation granularity per clinician. Use scripted onboarding and one practice vignette. Log time-to-decision and confidence.</w:t>
        <w:br/>
        <w:t xml:space="preserve">   - Run Monte Carlo power simulations (2000 iterations) using pilot variance components to finalize sample N for detecting OR per SD ≈1.3–1.6 at 80% power.</w:t>
        <w:br/>
        <w:t xml:space="preserve">   - Statistical procedures: pre-register analysis; use R/Stan templates; apply multiple-comparison correction for exploratory metrics (Benjamini-Hochberg FDR at 0.05).</w:t>
        <w:br/>
        <w:t>5) Reporting comparisons:</w:t>
        <w:br/>
        <w:t xml:space="preserve">   - Compare primary pipeline (median aggregate, tanh dynamics, normalized perceived_trust) to Baseline A and B and each ablation using primary outcome (odds ratio of accept) and consensus/reliability metrics. </w:t>
        <w:br/>
        <w:t xml:space="preserve">   - Report sensitivity bounds from imputations (MICE m=20), NA→0, and confidence-weighted means.</w:t>
        <w:br/>
        <w:t xml:space="preserve">   - Provide cluster visualizations of aggregated maps and example W_agg per clinician cluster.</w:t>
      </w:r>
    </w:p>
    <w:p>
      <w:r>
        <w:t xml:space="preserve"> </w:t>
      </w:r>
    </w:p>
    <w:p>
      <w:pPr>
        <w:pStyle w:val="Heading2"/>
      </w:pPr>
      <w:r>
        <w:t>Risk Factors And Limitations</w:t>
      </w:r>
    </w:p>
    <w:p>
      <w:r>
        <w:t>1) FCM dynamics may fail to converge under some W_agg matrices; non-convergence or oscillation can invalidate A_final and perceived_trust. 2) High missingness or MNAR (clinicians use "no-knowledge" non-randomly) can bias aggregation; standard imputation may not recover true maps. 3) Small sample sizes and large between-clinician heterogeneity limit power and generalizability; pilot variance estimates may be unstable. 4) Elicitation biases: slider anchoring, comprehension differences, and social desirability may distort weights. 5) Mapping from vignette features to input nodes may oversimplify real clinical context and produce measurement error. 6) Aggregation choices (median vs mean, signed vs absolute ranks) change outcomes; results depend on pre-registered analytic choices. 7) Psychometric limits: perceived_trust may be multidimensional; a single scalar may not capture nuances. 8) Results may not generalize beyond COVID-19 or beyond the specific explanation types used (GAM partials, SHAP). 9) Computational cost: bootstrap/permute (n≥2000) and Monte Carlo power simulations are compute-intensive. 10) Privacy and reproducibility: synthetic-first approach reduces but does not eliminate risks in translating to real EHR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