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ptb_pos_anomaly_detection</w:t>
      </w:r>
    </w:p>
    <w:p>
      <w:r>
        <w:t xml:space="preserve"> </w:t>
      </w:r>
    </w:p>
    <w:p>
      <w:pPr>
        <w:pStyle w:val="Heading2"/>
      </w:pPr>
      <w:r>
        <w:t>Title</w:t>
      </w:r>
    </w:p>
    <w:p>
      <w:r>
        <w:t>Detecting part-of-speech annotation errors in the Penn Treebank using calibrated ensemble anomaly scores from probabilistic and embedding models</w:t>
      </w:r>
    </w:p>
    <w:p>
      <w:r>
        <w:t xml:space="preserve"> </w:t>
      </w:r>
    </w:p>
    <w:p>
      <w:pPr>
        <w:pStyle w:val="Heading2"/>
      </w:pPr>
      <w:r>
        <w:t>Short Hypothesis</w:t>
      </w:r>
    </w:p>
    <w:p>
      <w:r>
        <w:t>A calibrated ensemble of standardized anomaly scores from lexical P(tag|word), sequence surprisal, contextual embedding density, and model negative log‑likelihood will identify annotation errors in the Penn Treebank with higher precision@K than majority‑tag and random baselines.</w:t>
      </w:r>
    </w:p>
    <w:p>
      <w:r>
        <w:t xml:space="preserve"> </w:t>
      </w:r>
    </w:p>
    <w:p>
      <w:pPr>
        <w:pStyle w:val="Heading2"/>
      </w:pPr>
      <w:r>
        <w:t>Related Work</w:t>
      </w:r>
    </w:p>
    <w:p>
      <w:r>
        <w:t>Prior approaches use probabilistic models and density estimators to find annotation errors: lexical statistics P(tag|word) identify unexpected tags for words; tag n‑grams, HMMs, and CRFs score sequence surprisal; contextual models and embedding densities flag tokens with low class‑conditional likelihood; anomaly detectors like isolation forest and Mahalanobis distance are also applied. Calibration techniques (Platt, isotonic) are used to convert scores to probabilities, and annotator noise models (Dawid–Skene/EM) estimate true labels from multiple annotations. Limitations in existing methods include: reliance on naive Gaussian assumptions for score standardization, poor treatment of low‑count tags and rare words, potential leakage between calibration and test sets, lack of robust covariance estimation for embedding densities, insufficient calibration sample guidance for isotonic fits, and weak procedures for controlling multiple tests under dependence (token/sentence clusters). Existing work often lacks a reproducible pipeline combining robust null estimation, ensemble stacking with out‑of‑fold calibration, and realistic synthetic error sensitivity studies.</w:t>
      </w:r>
    </w:p>
    <w:p>
      <w:r>
        <w:t xml:space="preserve"> </w:t>
      </w:r>
    </w:p>
    <w:p>
      <w:pPr>
        <w:pStyle w:val="Heading2"/>
      </w:pPr>
      <w:r>
        <w:t>Abstract</w:t>
      </w:r>
    </w:p>
    <w:p>
      <w:r>
        <w:t>We present a reproducible pipeline that detects part‑of‑speech annotation errors in the Penn Treebank by treating annotation mistakes as statistical anomalies. The method computes multiple per‑token anomaly scores: smoothed lexical P(tag|word) surprisal, tag sequence surprisal from HMM/tag n‑grams, model negative log‑likelihoods from a contextual tagger, and contextual embedding density distances. Each score is standardized against an empirically estimated null distribution derived from a held‑out calibration set; non‑Gaussian behavior is handled via empirical CDF transforms. Standardized scores are combined with an out‑of‑fold stacked ensemble (constrained linear weights or stacked logistic) and calibrated to produce P(error). We evaluate precision@K, AUPRC, calibration (ECE/Brier), and downstream impact on POS tagging and parsing, and perform ablations and controlled synthetic corruptions to measure robustness. The main contribution is a concrete, testable workflow that integrates robust null estimation, density modeling, ensemble stacking, and operational sampling rules to prioritize high‑precision flags for human review. Expected outcome: reproducible gains in reviewer efficiency and reliable identification of systematic annotation errors.</w:t>
      </w:r>
    </w:p>
    <w:p>
      <w:r>
        <w:t xml:space="preserve"> </w:t>
      </w:r>
    </w:p>
    <w:p>
      <w:pPr>
        <w:pStyle w:val="Heading2"/>
      </w:pPr>
      <w:r>
        <w:t>Methodology</w:t>
      </w:r>
    </w:p>
    <w:p>
      <w:r>
        <w:t>1) Data and splits: ingest raw PTB, normalize tokens, and create three disjoint sets: calibration (5–10k tokens stratified by token frequency, POS, and document), held‑out adjudicated test (2–5k double‑annotated), and the remaining corpus for training detectors. Exclude any token in calibration or test from detector training to prevent leakage. 2) Per‑token detectors: (a) lexical detector: estimate P̂(tag|word) with add‑k smoothing and backoff to lemma/suffix/UNK; score s_lex = −log P̂(tag_orig|word). (b) sequence detector: train smoothed tag n‑gram or HMM and compute s_seq = −log P̂(tag_orig|context). (c) model NLL: fine‑tune a BERT token classifier or CRF and compute per‑token NLL s_lm = −log P_model(tag_orig|context). (d) embedding density: extract contextual embeddings, fit class‑conditional Gaussians with robust shrinkage covariance (Ledoit–Wolf or regularized estimator) and compute Mahalanobis distance s_den; complement with isolation‑forest score s_if if Gaussian fit diagnostics fail. 3) Null estimation and standardization: estimate μ_i and σ_i per detector i on the calibration set using robust estimators (trimmed mean or M‑estimator) and use empirical CDF transform (rank→z) if score distribution is non‑Gaussian. Standardize z_i = (s_i − μ_i)/σ_i. 4) Ensemble and calibration: produce out‑of‑fold (OOF) z vectors via K‑fold training (K≥5). Fit either a constrained linear ensemble S = w^T z with w≥0, ∥w∥_1=1 by optimizing precision@K on OOF stacks with an L2 or elastic‑net regularizer, or train a stacked logistic model on OOF stacks. Calibrate final P(error) with isotonic regression when OOF positives ≥500, otherwise use Platt scaling. 5) Synthetic injection: implement a seedable API to inject realistic errors (tag swaps, tokenization splits/merges, capitalization NNP↔NN swaps, omissions/UNK, punctuation mislabels) at global rates 0.5%, 1%, 2%, 5% and per‑type rates. 6) Scoring and prioritization: compute P(error) for all tokens, cluster flags by (normalized_token, lemma, context‑signature) to identify systemic errors, and rank by P(error). 7) Outputs: export changelog entries with provenance fields and produce reliability diagrams, QQ plots for Gaussian checks, and per‑detector contribution weights. (Definitions: empirical CDF transform maps scores to their percentile; Mahalanobis distance measures distance from class mean accounting for covariance; Ledoit–Wolf is a shrinkage covariance estimator that stabilizes covariance for small samples.)</w:t>
      </w:r>
    </w:p>
    <w:p>
      <w:r>
        <w:t xml:space="preserve"> </w:t>
      </w:r>
    </w:p>
    <w:p>
      <w:pPr>
        <w:pStyle w:val="Heading2"/>
      </w:pPr>
      <w:r>
        <w:t>Experiments</w:t>
      </w:r>
    </w:p>
    <w:p>
      <w:r>
        <w:t>Datasets: Penn Treebank (PTB) normalized version. Splits: calibration set 5–10k stratified tokens, adjudicated test set 2–5k double‑annotated tokens, remaining tokens for training detectors. Baselines: (1) random sampling, (2) frequency‑based majority‑tag per word, (3) lexicon‑only mapping. Detectors to evaluate: lexical P(tag|word), tag n‑gram/HMM surprisal, BERT/CRF per‑token NLL, embedding Mahalanobis, isolation forest. Ensemble variants: constrained linear ensemble, stacked logistic, and no‑ensemble (best single detector). Ablations: detector‑minus‑one (remove each detector from ensemble) and calibration method ablation (isotonic vs Platt vs no calibration). Metrics: precision@K (K∈{100,500,1000}), AUPRC, AUROC, ECE, Brier score, recall@K, per‑class precision/recall, downstream POS accuracy, and dependency parsing UAS/LAS. Statistical procedures: nested cross‑validation (outer folds for final eval, inner folds for tuning), bootstrap 95% CIs for all metrics (B=1000), DeLong test for AUROC, paired permutation tests for precision@K differences, and Benjamini–Yekutieli / hierarchical FDR for bulk flagging. Synthetic robustness: run experiments with injected errors at global rates {0.5%,1%,2%,5%} and per‑type distributions (swaps 50%, tokenization 20%, capitalization 15%, omissions 10%, other 5%), measure metric degradation and detection power. Calibration sample experiments: vary calibration positive counts R∈{100,200,500} and report isotonic stability; require empirical OOF positives ≥500 for isotonic. Reproducibility: fix random_seed for all splits and injections, log MLflow run IDs, and provide Dockerfile and minimal CI dataset for smoke tests.</w:t>
      </w:r>
    </w:p>
    <w:p>
      <w:r>
        <w:t xml:space="preserve"> </w:t>
      </w:r>
    </w:p>
    <w:p>
      <w:pPr>
        <w:pStyle w:val="Heading2"/>
      </w:pPr>
      <w:r>
        <w:t>Risk Factors And Limitations</w:t>
      </w:r>
    </w:p>
    <w:p>
      <w:r>
        <w:t>Technical failure modes: Gaussian assumption for embedding densities may be invalid, causing misleading Mahalanobis scores; small tag counts can produce unstable class covariance estimates; isotonic calibration can overfit with few positives. Data/evaluation biases: stratified calibration may still miss rare error types; double‑annotation adjudication may reflect annotator bias and not true gold. Scalability: contextual embedding extraction and BERT fine‑tuning require GPU resources and memory; large calibration sample collection can be expensive. Generalization limits: methods tuned on PTB may not transfer to different genres or languages; synthetic injection priors may not match real error distributions. Statistical control: multiple testing under strong dependence may reduce power when using conservative FDR controls. Operational limits: reviewer workload models assume constant review time and independent corrections, which may not hold in practice.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