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hierarchical_occlusion_mri_xai</w:t>
      </w:r>
    </w:p>
    <w:p>
      <w:r>
        <w:t xml:space="preserve"> </w:t>
      </w:r>
    </w:p>
    <w:p>
      <w:pPr>
        <w:pStyle w:val="Heading2"/>
      </w:pPr>
      <w:r>
        <w:t>Title</w:t>
      </w:r>
    </w:p>
    <w:p>
      <w:r>
        <w:t>Hierarchical occlusion and reliability-weighted ensemble explainable AI for MRI diagnostic support in distal myopathies</w:t>
      </w:r>
    </w:p>
    <w:p>
      <w:r>
        <w:t xml:space="preserve"> </w:t>
      </w:r>
    </w:p>
    <w:p>
      <w:pPr>
        <w:pStyle w:val="Heading2"/>
      </w:pPr>
      <w:r>
        <w:t>Short Hypothesis</w:t>
      </w:r>
    </w:p>
    <w:p>
      <w:r>
        <w:t>Presenting radiologists with reliability-weighted ensemble explanations that combine hierarchical occlusion and multiple XAI methods causes an increase of at least 0.10 in Cohen's kappa for distal myopathy diagnosis in a paired reader design versus no explanation.</w:t>
      </w:r>
    </w:p>
    <w:p>
      <w:r>
        <w:t xml:space="preserve"> </w:t>
      </w:r>
    </w:p>
    <w:p>
      <w:pPr>
        <w:pStyle w:val="Heading2"/>
      </w:pPr>
      <w:r>
        <w:t>Related Work</w:t>
      </w:r>
    </w:p>
    <w:p>
      <w:r>
        <w:t>Existing approaches to explainability in medical imaging include gradient-based saliency methods (e.g., Grad-CAM, Integrated Gradients), perturbation-based occlusion, additive feature attribution (SHAP, LIME), layer-wise relevance propagation, and learned counterfactual inpainting. Prior work shows gradient methods are fast but can be diffuse and unstable; perturbation/occlusion gives causal-style effects but is computationally costly and highly sensitive to how removed content is replaced; SHAP/LIME provide local explanations but scale poorly to 3D images. Ensembles of XAI methods have been suggested to improve robustness, but published ensembles rarely weight methods by empirically measured reliability, and they often lack rigorous validation against expert annotations. Counterfactual/inpainting methods improve realism but can introduce systematic bias in model output changes. Few studies evaluate XAI outputs with blinded clinician reader studies, pre-registered thresholds, or OOD/artifact gating required for clinical use. Gaps: instability, replacement bias, weak localization metrics, lack of hierarchical region-aware occlusion, limited clinician validation, and absent regulatory-ready gating and provenance.</w:t>
      </w:r>
    </w:p>
    <w:p>
      <w:r>
        <w:t xml:space="preserve"> </w:t>
      </w:r>
    </w:p>
    <w:p>
      <w:pPr>
        <w:pStyle w:val="Heading2"/>
      </w:pPr>
      <w:r>
        <w:t>Abstract</w:t>
      </w:r>
    </w:p>
    <w:p>
      <w:r>
        <w:t>We address the problem of producing reliable, clinician-oriented explanations for deep learning diagnostic support on magnetic resonance imaging (MRI) of distal myopathies. We propose a method that combines multiple explainable AI (XAI) techniques into a reliability-weighted ensemble and introduces hierarchical occlusion: systematic perturbation at limb, compartment, muscle and fine voxel-block scales. Each XAI method is evaluated on validation data for fidelity (effect on model prediction), localization (overlap with expert masks), and stability under simulated artifacts. Per-method reliability scores produce ensemble weights. Occlusion replacements include conditional-mean, patch-based, and learned inpainting; replacement strategies are validated for plausibility and bias. We pre-specify numeric gating thresholds for fidelity, localization, stability and uncertainty and suppress explanations that fail gates. We will test the system in a pre-registered paired reader study (pilot n=50, full n=200) measuring diagnostic agreement, decision change, decision time, and usability, and we will report quantitative XAI metrics (delta-prob fidelity, IoU, SSIM, stability). Expected outcome: more localized, stable, and trustworthy visual explanations that measurably improve inter-reader agreement while producing auditable outputs for regulatory review.</w:t>
      </w:r>
    </w:p>
    <w:p>
      <w:r>
        <w:t xml:space="preserve"> </w:t>
      </w:r>
    </w:p>
    <w:p>
      <w:pPr>
        <w:pStyle w:val="Heading2"/>
      </w:pPr>
      <w:r>
        <w:t>Methodology</w:t>
      </w:r>
    </w:p>
    <w:p>
      <w:r>
        <w:t>1) Data and organization: use a BIDS-like multi-center MRI dataset with axial T1 and STIR mandatory; include Dixon/fat-fraction when available. Create hierarchical masks at four scales: limb, compartment, muscle, and voxel-block (8–16 voxels). Store provenance in JSON sidecars. 2) Preprocessing: apply N4 bias correction, denoising (MP-PCA or non-local means), rigid+SyN registration to template, resample to consistent in-plane spacing, and within-muscle intensity z-normalization. 3) Diagnostic model: train a frozen final classifier (e.g., 3D CNN) producing study-level probability for distal myopathy. Use class-balance handling (reweighting or focal loss) and calibration (temperature scaling). 4) XAI methods set: compute Grad-CAM/Grad-CAM++ (gradient-weighted class activation maps), Integrated Gradients (path-integrated gradients), SmoothGrad (smoothed gradients), Layer-wise Relevance Propagation (LRP), DeepSHAP (approximate SHAP), and perturbation-based occlusion at multiple scales. Explain technical terms simply: Grad-CAM shows where gradients point most strongly; Integrated Gradients sums gradients along a path; SHAP attributes importance by comparing to a baseline. 5) Hierarchical occlusion: perform coarse-to-fine occlusions at limb, compartment, muscle, voxel-block scales with early-stop when cumulative explained delta-prob ≥80% or incremental gain &lt;0.005. For each occlusion, replace region content using pre-registered strategies: conditional-mean (average healthy region), patch-based (PatchMatch), and learned inpainting (conditional GAN or diffusion model). Use soft-blend edges to avoid sharp artifacts. 6) Reliability scoring: on validation folds compute per-method metrics: fidelity (change in model probability when top region removed), localization IoU vs expert masks, and stability (Spearman rank correlation under simulated artifacts). Combine metrics into a reliability score and normalize to obtain weights. 7) Ensemble fusion: pool method maps to muscle level to handle resolution mismatch, apply reliability weights (weight_m ∝ learned_weight_m / var_m) and reproject fused map for visualization. 8) Validation of replacements: measure SSIM, MAE, KL histogram overlap, muscle fat-fraction difference, and blinded radiologist realism test. 9) Gating and provenance: pre-set thresholds (to be calibrated) for fidelity, IoU, stability and CI width; suppress and log any explanation failing gates. Store all preprocessing, model and XAI versions and seeds for reproducibility. 10) Compute: precompute occlusion masks, batch forward passes, use mixed precision and caching to meet clinician latency targets.</w:t>
      </w:r>
    </w:p>
    <w:p>
      <w:r>
        <w:t xml:space="preserve"> </w:t>
      </w:r>
    </w:p>
    <w:p>
      <w:pPr>
        <w:pStyle w:val="Heading2"/>
      </w:pPr>
      <w:r>
        <w:t>Experiments</w:t>
      </w:r>
    </w:p>
    <w:p>
      <w:r>
        <w:t>Dataset: held-out multi-center set with pilot n=50 (balanced positives/controls) and full paired reader study n=200 (≈100 positives, 100 controls) stratified by site; training/validation separate cohorts not used in reads. Baselines: (A) no-XAI (model output only), (B) single XAI methods individually (Grad-CAM, Integrated Gradients, SmoothGrad, LRP, DeepSHAP, voxel occlusion), (C) hierarchical occlusion alone, (D) ensemble unweighted, (E) ensemble reliability-weighted. Ablations: replacement strategy ablation (conditional-mean vs patch vs learned inpainting), ensemble weight ablation (learned vs inverse-variance vs equal), and threshold sensitivity analysis across predefined ranges. Reader-study protocol: within-reader randomized crossover with ≥2-week washout; each case read under both conditions (with and without chosen XAI) in randomized order. Statistical tests: primary analysis via pre-registered mixed-effects logistic regression for binary diagnostic change with random effects for reader and case; complementary McNemar tests; Wilcoxon signed-rank for Likert trust; mixed-effects models for decision time. XAI metrics: fidelity = deletion delta-prob (report mean and 95% CI via 1000 bootstrap resamples), localization IoU vs expert masks, stability = Spearman rank under simulated artifacts, delta-prob bias across replacement methods, SSIM/MAE/KL for inpainting realism, muscle fat-fraction shift (percentage points), explanation uncertainty CI width. Outcome metrics: Cohen's kappa change, sensitivity, specificity, AUC, decision time (median seconds), SUS usability score, suppression rate, runtime latency per study (muscle-level and full fine-grained). Occlusion sampling schedule: limb 10, compartment 20, muscle 30, voxel-block 50 perturbations. Uncertainty methods: deep ensembles (5 members) or MC-dropout (50 samples). Pre-registration: all thresholds, method set, cross-validation folds (k=5 stratified by site/subtype), and bootstrap seeds are fixed before analysis.</w:t>
      </w:r>
    </w:p>
    <w:p>
      <w:r>
        <w:t xml:space="preserve"> </w:t>
      </w:r>
    </w:p>
    <w:p>
      <w:pPr>
        <w:pStyle w:val="Heading2"/>
      </w:pPr>
      <w:r>
        <w:t>Risk Factors And Limitations</w:t>
      </w:r>
    </w:p>
    <w:p>
      <w:r>
        <w:t>1) Replacement bias: occlusion results depend on how removed regions are filled; replacements can systematically change model output and produce spurious attributions. 2) Computational cost: fine-grained occlusion is expensive in time and storage; may not meet real-time constraints on limited hardware. 3) Annotation quality: expert mask variability limits localization metrics and may reduce reliability scoring validity. 4) OOD and artifact sensitivity: models and XAI can behave unpredictably on unseen site/vendors or severe artifacts. 5) Ensemble instability: learned meta-weights may overfit validation folds or be unstable with small validation size. 6) Reader effects: automation bias or training effects can confound measured improvements in agreement. 7) Generalization: results on distal myopathy MRI may not transfer to other diseases, MRI sequences, or body regions. 8) Regulatory and privacy constraints: storing XAI provenance and inpainted images may raise privacy and compliance challenges. 9) Statistical power risks: paired effect sizes may be smaller than planned, reducing ability to detect the hypothesized kappa increase. 10) Measurement limits: metrics like IoU and SSIM are imperfect proxies for clinical relevance and may not capture all failure modes.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