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cmr_xmotion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Motion-calibrated deep learning for robust myocardial segmentation and image-quality assessment in cardiac cine MRI under respiratory motion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Calibrating synthetic respiratory-motion augmentation to measured k-space and image-space motion metrics and training motion-aware spatio-temporal networks will increase myocardial segmentation mean Dice and IQA quadratic-weighted kappa on motion-corrupted cardiac cine MRI, reducing the gap between no-motion and severe-motion cases by at least 0.05 mean Dice.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cardiac cine MRI methods include 2D and 3D U-Net variants, nnU-Net-style automated pipelines, temporal models (3D CNNs, ConvLSTM), transformer-based architectures, and separate image-quality assessment (IQA) classifiers. Motion-handling strategies are either pre-processing corrections (registration, k-space filtering) or naive augmentation (random shifts, blurs). Prior synthetic-motion studies often use image-space corruptions without k-space modeling or calibration to real motion metrics. Limitations: lack of controlled-motion, vendor-balanced datasets; inconsistent, non-reproducible motion metrics; weak evaluation of robustness across severity levels; scarce uncertainty/abstention analysis; and limited reproducibility (missing seeds, containers, calibration protocols). These gaps prevent fair benchmarking of motion-robust methods and obscure how synthetic augmentation maps to real respiratory artifacts.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Respiratory motion degrades cardiac cine MRI, reducing accuracy of automated myocardial segmentation and clinical measures such as ejection fraction. We propose a reproducible pipeline that calibrates synthetic respiratory-motion augmentations to measured motion metrics and trains motion-aware spatio-temporal deep networks for two tasks: automated image-quality assessment (IQA) and robust myocardial segmentation. Key components are a controlled-motion dataset with per-frame motion sidecars, containerized augmentation modules that produce k-space and image-space corruptions with fixed seeds, and baseline models that combine temporal encoders (ConvLSTM or transformers) with segmentation decoders. Evaluation uses bootstrapped confidence intervals, permutation tests, uncertainty-aware metrics, and a hidden external holdout. The main contributions are (1) a motion-calibrated augmentation and metric registry, (2) reproducible baseline models and containers, and (3) a prespecified evaluation protocol measuring robustness across severity strata. We expect improved segmentation and IQA robustness under respiratory motion and a transparent benchmark to guide future methods.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preparation: collect short‑axis cine DICOMs with controlled respiratory instructions and navigator offsets; convert to BIDS, strip identifiers, and record per-frame motion metrics (rigid inter-frame displacement in mm, nonrigid RMS displacement in mm, slice misregistration fraction, normalized k-space motion energy). 2) Annotation: obtain two independent expert ED/ES myocardial masks per study; store masks, timestamps and confidence in DataLad. 3) Motion calibration: compute empirical distributions of motion metrics on a pilot set and fit synthetic-augmentation parameter ranges (YAML presets) so generated metrics match empirical distributions. 4) Augmentation code: implement k-space phase ramps, line corruption, in-plane/through-plane shifts, temporal Gaussian blur, and nonrigid warps; containerize with fixed RNG seeds (seed explained: numeric start value for pseudo-random generators to make results repeatable). 5) Models: implement two segmentation families: (A) 2.5D U-Net backbone with ConvLSTM temporal module (ConvLSTM: convolutional long short-term memory, a way to model time while preserving spatial structure) and (B) transformer-augmented spatio-temporal encoder (transformer: attention-based module to model long-range temporal dependencies). For IQA implement a ResNet3D encoder plus temporal transformer for ordinal classification. 6) Training: use Dice loss + cross-entropy for segmentation, and ordinal cross-entropy or squared-error for IQA; include probabilistic outputs (softmax for IQA, per-pixel probabilities for segmentation). 7) Uncertainty: produce ensemble and MC-dropout estimates (MC-dropout: run network with dropout at inference to sample prediction variability) to enable abstention evaluation. 8) Evaluation: provide evaluation scripts that compute mean Dice (ED+ES averaged per-case), HD95, EF error, QWK for IQA, Brier/ECE for calibration, and robustness gap (no-motion − severe). Containerize all steps and publish seeds and environment locks for reproducibility.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alpha pilot (n=75 with 25 none/mild/moderate/severe split), extended pilot (n≈150), planned full release (minimum 300, optimal 1000+), and a hidden external holdout (10–20% of full release from distinct sites/vendors). Baselines: (1) 2.5D nnU-Net-style segmentation (no temporal module), (2) 2.5D + ConvLSTM temporal module, (3) transformer-augmented spatio-temporal segmentation, (4) 3D ResNet segmentation baseline. IQA baselines: framewise ResNet2D classifier aggregated by majority, ResNet3D, and ResNet3D+temporal transformer. Ablations: A) augmentation off vs. generic vs. motion-calibrated synthetic augmentation; B) temporal module ablation (none vs ConvLSTM vs transformer); C) uncertainty ablation (deterministic vs ensemble vs MC-dropout with abstention thresholds). Splits: seeded train/val/test stratified by vendor, field strength and severity. Metrics: segmentation mean Dice (ED+ES per-case average), HD95, absolute EF error, IQA QWK, macro F1, AUC, Brier score, ECE, and robustness gap (no-motion − severe). Statistical tests: case-level bootstrap CI (10,000 iterations) for metrics, paired permutation tests (10,000 iterations) with Holm correction for pairwise comparisons. Hardware &amp; constraints: reference GPU NVIDIA V100 (32GB), per-case inference ≤60s, GPU memory cap 16GB, container ≤10GB. Reporting: publish seeds, container hash, training recipe, and evaluation outputs for each run.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failures: synthetic augmentations may not capture complex real motion, causing domain gap and degraded downstream performance. Annotation bias: inter-rater variability and imperfect consensus masks can limit achievable Dice. Evaluation bias: site/vendor confounding could inflate apparent robustness if holdout is not independent. Scalability: training temporal models and ensembles requires substantial GPU hours and memory; constrained-track limits may prevent full model deployment. Privacy risk: de-identified DICOMs may still be vulnerable to linkage attacks if adversary data exist. Generalization limits: models tuned on controlled-motion data may not transfer to other sequences, vendors, or free-breathing acquisitions. Metric sensitivity: Dice and QWK may not capture all clinical failure modes (e.g., EF errors for apical slices). Leaderboard risk: repeated tuning on public test splits can overfit; hidden holdout size may limit statistical power for small effect sizes.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