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memory_bank_wavelet_us_seg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segmentation of long ultrasound videos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learnable lifting-based wavelet convolutions that emphasize high-frequency details with a two-tier memory bank (short-term ring buffer + compressed long-term store) and a spatiotemporal attention fusion will increase per-frame Dice by at least 3 percentage points relative to a matched temporal UNet baseline on long ultrasound videos.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ultrasound segmentation methods use U-Net style backbones for per-frame accuracy and add short-term temporal modules (e.g., ConvLSTM or temporal aggregation) to improve smoothness. Other lines use frequency-aware transforms (handcrafted wavelets or fixed DWT) to capture multi-scale structure and denoise images. Memory-augmented networks and retrieval-based modules store past feature keys/values to reuse information across time in vision tasks. Limitations: (1) temporal modules typically model only short windows and cannot capture long-range dependencies required by long videos; (2) wavelet approaches are often fixed (non-learnable) and do not adapt to imaging artifacts or emphasize small high-frequency objects; (3) memory designs rarely fuse frequency-band information or provide compressed long-term stores tuned for real-time constraints; (4) prior works lack combined evaluation of HF-band fusion, long-memory capacity, and compute/latency trade-offs for clinical deployment.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Long ultrasound exams contain transient small objects and repeating patterns that require both fine high-frequency detail and long-term context to segment reliably. We propose a segmentation architecture that combines learnable lifting-based wavelet convolutions with a two-tier memory bank to fuse multi-scale spatiotemporal features across long video streams. The wavelet blocks decompose features into low- and high-frequency bands and apply per-band learnable shrinkage and spatial-frequency attention to emphasize small structures. The memory bank stores recent full feature maps in an STM ring buffer and compressed keys/values in an LTM with top-k retrieval and momentum updates; retrieved memory is fused into decoder features via gated attention. Main contributions are (1) a reference LearnableWaveletConv block with DWT/IDWT perfect-reconstruction tests, (2) a memory read/write API with compressed LTM and top-k retrieval, and (3) pre-registered ablations and compute/latency targets for real-time and high-accuracy modes. We expect improved per-frame Dice and boundary scores on long ultrasound videos while maintaining configurable runtime trade-offs.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three main modules: (A) LearnableWaveletConv block, (B) MemoryBank module, and (C) fusion into a UNet-like backbone. A) LearnableWaveletConv: use lifting-based discrete wavelet transform (DWT). DWT is a transform that splits features into low-frequency (coarse) and high-frequency (detail) subbands. Lifting means learnable, invertible filter steps initialized to classical wavelets (e.g., db4) so the transform can be trained. Implement dwt(x, levels) -&gt; list of coeffs and idwt(coeffs) -&gt; x for perfect reconstruction. Per-band learnable soft-shrinkage: a learnable scalar (or channelwise) that attenuates small coefficients to reduce noise (shrinkage = soft threshold). Spatial-frequency attention: a light conv or channel attention applied per subband to reweight spatial locations and frequencies. Expose orthogonality_penalty() computed from lifting filters to regularize invertibility. Support 1–3 decomposition levels and separable ops to reduce cost. B) MemoryBank: two-tier storage. STM is a ring buffer of recent feature maps (full spatial resolution optionally pooled); LTM stores compressed key/value entries with metadata (timestamp, importance). Implement write(frame_key, frame_val, importance) and retrieve(query, topk) -&gt; values + attn_weights. Compression options: learnable bottleneck projection + residual quantization (8-bit) or low-rank SVD-like projection. Momentum updates: new_value = alpha * old + (1-alpha) * new. Eviction policy: soft-LRU using importance score. C) Fusion: at decoder stages, form a query from decoder features, retrieve top-k values per scale, and fuse via multi-head attention followed by a learned gating scalar (init bias favoring short-term). Training losses: per-frame Dice and cross-entropy, boundary loss for edges, orthogonality regularizer for lifting filters, retrieval-consistency loss (L2 between fused memory prediction and ground truth), and optional small-object focal weighting. Training regimen: deterministic seeds, mixed precision with AMP, gradient clipping, optimizer with separate lrs for backbone/wavelet/memory, warmup + cosine decay. Unit-tests: perfect reconstruction (dwt-&gt;idwt L2 tolerance), orthogonality diagnostics, memory retrieval determinism, and compression round-trip. Provide example training script and Docker container.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per-anatomy collections (cardiac, abdominal, obstetric, vascular) with splits per anatomy: train=1000 patients/videos, val=250, test=250. Ensure ≥200 positive cases per clinically important small-object class in the full dataset. Preprocess: frames resized to 512×512, normalized; augmentations: speckle (Rayleigh), simulated shadow, temporal jitter, motion blur. Baselines: (1) frame-wise UNet, (2) UNet+ConvLSTM temporal aggregation, (3) wavelet-only UNet (fixed DWT), (4) memory-only UNet (no wavelet), (5) proposed full model. Metrics: primary = per-frame Dice (averaged per patient), secondary = boundary F1; also report IoU, object-wise recall by size bins (tiny&lt;32px, small 32–128px), ECE calibration, FPS, peak GPU memory. Training setup: batch size per GPU=2, AdamW optimizer, backbone LR=1e-3, wavelet LR=5e-4, memory LR=1e-4, warmup 1k steps, cosine decay, train for 100 epochs or until val plateau. Use mixed precision and fixed seeds. Ablation studies (pre-registered): (A) full vs memory-disabled, (B) memory-only vs wavelet-only, (C) learnable vs fixed wavelets, (D) DWT levels {1,2,3}, (E) LTM capacity {128,512,1024}, (F) STM length {8,16,32}, (G) top-k {1,5,10}, (H) shrinkage on/off, (I) attention/gating on/off. Report paired Wilcoxon tests (alpha=0.05) for primary comparisons and bootstrap (n=1000) 95% CIs. Profiling: measure FLOPs, per-frame latency and memory using torch.profiler and nvidia-smi on representative clip lengths T={8,16}. Provide unit-test CI that checks DWT reconstruction and memory APIs.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numerical instability from learnable lifting filters (non-invertible updates), collapsed shrinkage (over-suppression) or NaNs under mixed precision; memory poisoning from stale or adversarial LTM entries leading to systematic errors; attention gating collapse that ignores memory. Data/evaluation biases: under-representation of vendors, probes, patient demographics or rare pathologies can bias results and reduce generalization. Scalability/compute limits: LTM/STM and multi-level DWT increase activations and peak GPU memory, making real-time targets hard on low-memory devices; compression may reduce utility. Limits to generalization: model tuned on specific anatomies or probe types may not transfer across sites without retraining. Privacy risks: stored compressed long-term features may retain patient-identifying information enabling membership or reconstruction attacks. Annotation constraints: inter-annotator variability, especially on small objects, can limit achievable ceiling performance and complicate statistical claims. Evaluation limits: per-frame Dice averages may mask temporal failure modes (ID-switches, object tracking errors) and small-object rare-event statistics may have limited power for some subgroups.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