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disentangled_anatomy_edge_recon</w:t>
      </w:r>
    </w:p>
    <w:p>
      <w:r>
        <w:t xml:space="preserve"> </w:t>
      </w:r>
    </w:p>
    <w:p>
      <w:pPr>
        <w:pStyle w:val="Heading2"/>
      </w:pPr>
      <w:r>
        <w:t>Title</w:t>
      </w:r>
    </w:p>
    <w:p>
      <w:r>
        <w:t>Unsupervised anomaly detection in brain MRI via disentangled anatomy encoding and edge-to-image pseudo-healthy reconstruction</w:t>
      </w:r>
    </w:p>
    <w:p>
      <w:r>
        <w:t xml:space="preserve"> </w:t>
      </w:r>
    </w:p>
    <w:p>
      <w:pPr>
        <w:pStyle w:val="Heading2"/>
      </w:pPr>
      <w:r>
        <w:t>Short Hypothesis</w:t>
      </w:r>
    </w:p>
    <w:p>
      <w:r>
        <w:t>Separating anatomical structure from imaging-specific factors using a disentangled anatomy representation and reconstructing pseudo-healthy images from high-frequency edge cues will improve unsupervised detection sensitivity and localization of brain lesions across modalities and centers compared to standard reconstruction or feature-density baselines.</w:t>
      </w:r>
    </w:p>
    <w:p>
      <w:r>
        <w:t xml:space="preserve"> </w:t>
      </w:r>
    </w:p>
    <w:p>
      <w:pPr>
        <w:pStyle w:val="Heading2"/>
      </w:pPr>
      <w:r>
        <w:t>Related Work</w:t>
      </w:r>
    </w:p>
    <w:p>
      <w:r>
        <w:t>Existing unsupervised MRI anomaly detection methods fall into two main families: reconstruction-based generative models (autoencoders, VAEs, GANs, VAE-GANs, AnoGAN variants) that learn to recreate healthy images and flag differences as anomalies, and feature-density or patch-based methods (PatchCore, PaDiM) that detect outliers in learned feature spaces. Flow-based normalizing models (FastFlow) and per-voxel statistical baselines (z-score) have also been used. Limitations include: reconstruction models can either over-smooth (losing small lesions) or reproduce anomalies (reducing sensitivity); GANs suffer training instability and mode collapse; many methods lack explicit anatomical priors and therefore produce false positives in regions of normal anatomical variability; edge information and high-frequency detail are underused, reducing localization accuracy; multi-center and multi-modality variability often degrades performance because models learn scanner or contrast-specific cues; and methods rarely quantify disentanglement leakage (scanner info in anatomy code) or report robust per-center calibration.</w:t>
      </w:r>
    </w:p>
    <w:p>
      <w:r>
        <w:t xml:space="preserve"> </w:t>
      </w:r>
    </w:p>
    <w:p>
      <w:pPr>
        <w:pStyle w:val="Heading2"/>
      </w:pPr>
      <w:r>
        <w:t>Abstract</w:t>
      </w:r>
    </w:p>
    <w:p>
      <w:r>
        <w:t>We address unsupervised anomaly detection in brain MRI by decoupling anatomical structure from imaging-specific factors and reconstructing high-quality pseudo-healthy images from edge-derived anatomy. Our approach first learns a disentangled representation with an anatomy channelized map (discrete one-hot-like labels per voxel) and a compact imaging latent representing contrast and scanner effects. Anatomy is constrained by probabilistic atlases and a differentiable discrete operator to produce crisp structural maps. Second, an edge-to-image restoration module reconstructs pseudo-healthy images by decoding multi-scale high-frequency edge cues together with imaging latent codes, producing a residual map that highlights anomalies. Main contributions are: (1) a two-module pipeline combining anatomy disentanglement and edge-guided restoration for better localization, (2) a reproducible set of loss terms, default weights, and temperature schedules for the discrete anatomy operator, and (3) evaluation protocols for multi-center and multi-modality robustness. We expect improved scan-level and lesion-level detection (especially for small and medium lesions), better cross-site generalization, and interpretable outputs for clinical review without requiring labeled pathology during training.</w:t>
      </w:r>
    </w:p>
    <w:p>
      <w:r>
        <w:t xml:space="preserve"> </w:t>
      </w:r>
    </w:p>
    <w:p>
      <w:pPr>
        <w:pStyle w:val="Heading2"/>
      </w:pPr>
      <w:r>
        <w:t>Methodology</w:t>
      </w:r>
    </w:p>
    <w:p>
      <w:r>
        <w:t>Overview: Implement two modules: (A) Disentangled representation module that separates anatomy from imaging factors; (B) Edge-to-image restoration module that decodes anatomy (from edges) into pseudo-healthy images and outputs an anomaly residual. Preprocessing: accept BIDS input. Steps: 1) Skull-stripping: run HD-BET v1.0.0 to remove non-brain tissue (HD-BET is an automated brain extraction tool). 2) Bias-field correction: run N4BiasFieldCorrection (ANTs v2.3.5) with shrink-factor=4 to correct intensity nonuniformity (this makes intensities more uniform). 3) Registration: rigid+affine+SyN (ANTs) to MNI2009c template for atlas alignment. 4) Intensity normalization: z-score within brain mask. Provide QC metrics (brain-mask overlap, bias residual RMSE). Disentangled representation module: - Encoder network maps input image to two outputs: anatomy logits per voxel (K channels) and imaging latent vector z_im (dim 32–64). Anatomy logits are converted to discrete-like maps using Gumbel-Softmax straight-through (a differentiable approximation to one-hot selection; temperature annealed). Explain Gumbel-Softmax simply: it turns probabilities into near-discrete choices while allowing training with gradients. - Atlas prior: add per-voxel cross-entropy between anatomy probabilities and stratified probabilistic atlas soft-labels (atlas gives expected tissue labels). Clip atlas influence where atlas entropy &gt;0.6 to avoid erasing normal variants. - Disentanglement losses: InfoNCE between anatomy and imaging latents (reduces shared info), adversarial scanner classifier applied to anatomy latent with gradient reversal to reduce scanner predictability (classifier tries to predict scanner, anatomy encoder tries to fool it). Edge extraction: - Multi-scale hybrid bank combining Canny (fine/coarse), LoG (blob sensitivity), and small learned convolution filters fused to a multi-channel edge tensor. Per-sequence default params (examples): T1 Canny σ={1.0,2.0}, FLAIR/T2 σ={1.5,3.0}. Edge-confidence map: normalize and compute per-voxel confidence; low-confidence cases are flagged. Edge-to-image restoration module: - Input: edge tensor + discrete anatomy map + imaging latent z_im injected via FiLM layers (FiLM is feature-wise linear modulation: it scales and shifts decoder features according to z_im). - Decoder: U-Net-like with high-resolution skip connections from edge tensor and anatomy channels. Output: pseudo-healthy image and residual map. Reconstruction combination: final pseudo result = pseudo-healthy * (1 - mask_residual) + input * mask_residual where mask_residual is learned to preserve legitimate non-pathological imaging differences. Loss functions and defaults (log and schedule): - L_rec (L1 pixel loss) = 1.0 (measures absolute image difference). - L_edge (edge/gradient consistency) = 1.0 (enforces gradients of reconstruction match input edges). - L_perc (perceptual MRI features) = 0.1 (uses features from a pretrained MRI autoencoder). - L_adv (PatchGAN adversarial loss) = 0.01; discriminator trained 1:1 with generator. - L_InfoNCE = 0.1 between anatomy and imaging latents. - Residual suppression L1 on residuals for healthy examples = 0.5. Gumbel temperature schedule: temp 1.0 → 0.1 linearly over first 50k iterations (alternate slow schedule 1.0→0.01 over 200k iter). Adversarial and InfoNCE annealing: multiplicative scheduler (start at baseline weight; multiply by 0.5 every 25k iterations if anatomy leakage observed). Synthetic lesion generator (seeded): parameterized generator producing lesions with size 2–60 mm, shapes: ellipsoid base + Perlin noise rim, ring-enhancing core option, diffuse LoG blobs, microbleed spots; intensity contrast ranges per modality (example T1 relative change -0.6 to +0.6), location priors sampled from atlas ROIs with configurable prevalence per ROI, co-occurrence rules with white-matter hyperintensities. Publish 10k fixed seeds for reproducibility. Training details: Adam optimizer LR=1e-4, batch size 8–16, epochs 150–200, early stop patience 20. Log metrics per epoch: anatomy entropy, per-class occupancy, scanner-classifier accuracy, edge-confidence, reconstruction losses. Uncertainty: use deep ensembles (N=5 models) producing per-voxel mean and entropy; entropy is used for human escalation thresholds.</w:t>
      </w:r>
    </w:p>
    <w:p>
      <w:r>
        <w:t xml:space="preserve"> </w:t>
      </w:r>
    </w:p>
    <w:p>
      <w:pPr>
        <w:pStyle w:val="Heading2"/>
      </w:pPr>
      <w:r>
        <w:t>Experiments</w:t>
      </w:r>
    </w:p>
    <w:p>
      <w:r>
        <w:t>Datasets: Training unsupervised on pooled healthy controls (&gt;=1,000 scans) from OASIS, IXI, ADNI controls, HCP subsamples. Testing on held-out multi-center pathology sets: BraTS (tumors), ISLES and ATLAS (stroke), MSSEG (MS lesions), TCIA/TCGA-GBM tumor sets, curated microbleed collections. Reserve entire centers for leave-one-site-out (LOSO) splits and perform leave-one-modality-out (LOMO) experiments. Baselines: AE, VAE, VAE-GAN, f-AnoGAN/GANomaly, PatchCore, PaDiM, FastFlow (if feasible), per-voxel z-score. Metrics: Primary: scan-level AUPRC for lesions &gt;10 mm. Secondary: AUROC; sensitivity at fixed FPRs {0.01,0.05}; lesion-level recall stratified (&gt;10 mm, 5–10 mm, 3–5 mm, &lt;3 mm); voxel-level AUROC/AUPRC and Dice when masks available; false-positive clusters per scan; calibration metrics ECE and Brier score per center. Statistical tests: paired DeLong for AUROC, stratified bootstrap (1,000 resamples) for AUPRC CIs, paired permutation tests (10,000 shuffles) for non-normal metrics; alpha=0.05. Setup: train models with default hyperparameters (encoder filters [32,64,128,256], anatomy K=12, z_im=64). Use ensemble N=5 for uncertainty. Resources: prototype on 16GB GPU; full runs on 1-2×40GB A100; expected 48–120 GPU-hours per full run. Ablation studies (pre-registered): 1) anatomy representation: K ∈ {8,12,16} and one-hot (Gumbel-ST) vs continuous soft maps. 2) Edge extraction: Canny only vs LoG vs learned convs vs multi-scale fusion. 3) Denoiser: on vs off (residual CNN before edges). 4) Modulation: FiLM vs AdaIN. 5) Loss weights: vary L_adv ∈ {0.01,0.1,0.5}, L_InfoNCE ∈ {0.0,0.1,0.5}. For each ablation compare scan AUPRC and lesion-level sensitivity; use paired bootstrap 1,000 resamples for CIs and permutation tests for p-values. Power/sample-size: to detect ΔAUPRC = 0.05 with 80% power, include 150–250 positive scans for primary endpoint; reader study pilot: 120 positives (&gt;10 mm) and 360 negatives for ~80% power. Robustness tests: LOSO and LOMO evaluations, scanner-adversarial leakage test (train scanner classifier on anatomy latents, target ≤60% accuracy), synthetic-lesion realism tests (Wasserstein/KS on lesion intensity, Hausdorff and boundary IoU on shapes, texture metrics LBP/GLCM, feature-space Fréchet/Sliced-Wasserstein), and stress augmentations (motion, bias, metal) with sensitivity drop reports.</w:t>
      </w:r>
    </w:p>
    <w:p>
      <w:r>
        <w:t xml:space="preserve"> </w:t>
      </w:r>
    </w:p>
    <w:p>
      <w:pPr>
        <w:pStyle w:val="Heading2"/>
      </w:pPr>
      <w:r>
        <w:t>Risk Factors And Limitations</w:t>
      </w:r>
    </w:p>
    <w:p>
      <w:r>
        <w:t>Technical failure modes: anatomy leakage where scanner or contrast information persists in the anatomy code, leading to false positives; anatomy class collapse where one class dominates brain voxels; denoiser or edge filtering may suppress small lesions causing sensitivity loss; GAN adversarial instability causing training collapse. Data and evaluation biases: training on pooled public healthy cohorts may not reflect clinical populations (age, ethnicity, comorbidity), synthetic lesion priors may mismatch real lesion epidemiology, and held-out test sets may underrepresent rare pathologies. Scalability and compute: training ensembles and adversarial components increases GPU time and memory; high-resolution 3D volumes may require &gt;40GB GPU memory for full experiments. Limits to generalization: performance may degrade on vendors, field strengths, or sequences not seen in training; missing modalities at inference can reduce reconstruction fidelity; small lesions (&lt;3 mm) may remain challenging to localize reliably. Statistical limitations: AUPRC variability for rare lesions requires sufficient positive cases per size bin; reader studies need careful power planning. Clinical integration limits: uncertainty thresholds for human escalation require site-specific calibration and may not transfer directly across centers.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