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lctfound_lungct28m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Diffusion-based multimodal lung CT foundation model for multi-task reconstruction and disease diagnosis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 3D latent diffusion model on a large, curated multi-center lung CT corpus with joint clinical metadata encoding and physics-aware sinogram augmentation will increase downstream lesion segmentation Dice by ≥5 percentage points and diagnostic AUC by ≥0.03 compared with supervised training from scratch, when evaluated on held-out centers using fixed seeds and identical fine-tuning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broad groups: supervised CT models trained on task-specific labeled sets, self-supervised/image-only pretraining (masked autoencoders, contrastive learning) on limited CT collections, and emerging diffusion-based image generative models. Supervised models are data-hungry and do not transfer well across sites or tasks. Masked autoencoders and contrastive SSL improve transfer but typically operate on 2D slices or image-only 3D crops and lack clinical metadata fusion. Pixel-space diffusion models can generate high-fidelity images but are costly and have limited control for conditional medical tasks. Prior sinogram- or physics-aware reconstructions exist but are rarely integrated into large-scale pretraining. Common limitations: small or single-center datasets, weak multimodal fusion, limited evaluation across vendors and dose levels, sparse use of raw projection (sinogram) data, weak uncertainty/OOD handling, and incomplete reproducibility artifacts.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LCTFound, a lung CT foundation model pretrained with 3D latent diffusion and joint clinical–image encoding on a curated multi-center corpus to support many downstream CT tasks including reconstruction, segmentation, diagnosis, prognosis, and surgical navigation. A latent diffusion model learns to model compressed CT volumes (a latent space) rather than raw voxels; this reduces compute and focuses capacity on clinically relevant structure. Clinical metadata (age, sex, smoking, labs) are encoded and fused via a small transformer to enable multimodal conditioning. Where raw projection (sinogram) data are unavailable, we use calibrated forward-model simulations for physics-aware augmentation. After pretraining, lightweight adapters are fine-tuned per task. Main contributions are: (1) a scalable 3D latent-diffusion pretraining recipe for lung CT, (2) a joint image–clinical encoding pipeline, and (3) a standardized evaluation suite covering multi-center holdout, sinogram‑fallback validation, and uncertainty/OOD tests. We expect improved label efficiency and consistent cross-site performance for reconstruction and diagnostic tasks.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 and splits: build the LungCT-28M corpus targets (pilot MVS 5k studies, scale 150–200k) with per-site provenance table. Reserve &gt;=20% of centers as held-out test centers. 2) Preprocessing: convert DICOM to standardized HU volumes, clip to [-1000,400], resample to consistent voxel spacing for lung crops, and save provenance. If sinograms available, also ingest raw projection and geometry metadata; otherwise generate calibrated simulated sinograms from per-site geometry and kernels. 3) VAE stage: train a 3D convolutional variational autoencoder (VAE). VAE explanation: it compresses volumes into a smaller latent space; encoder maps image-&gt;latent, decoder reconstructs image. Use L1 + perceptual + KL loss and preserve HU fidelity checks. 4) Latent diffusion pretraining: train a diffusion model in the VAE latent space. Diffusion explanation: the model learns to denoise latents over timesteps to generate realistic latents. Conditioning: fuse clinical metadata via a small transformer encoder (metadata tokens) into cross-attention or FiLM layers inside the U-Net denoiser. Use classifier-free guidance during training. 5) Physics-aware augmentation: incorporate sparse-view and low-dose simulations by downsampling projection counts and scaling Poisson noise; augment latents with sinogram-conditioned auxiliary losses when paired projections exist. 6) Downstream adapters: for each task add small task-specific heads or decoder adapters and fine-tune on labeled data. 7) Uncertainty and OOD: deploy an ensemble of three adapter instances, MC-dropout at inference (20 samples), and compute latent Mahalanobis distance for OOD score. 8) Explainability outputs: produce segmentation overlays, saliency/attention maps, nearest support examples from training latents, calibrated confidence scores, and provenance metadata. 9) Evaluation gating: verify VAE HU bias and SSIM thresholds before large-scale diffusion and run reproducible small-reference experiments (500 studies) before scaling.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MVS: 5,000 studies (~10k labeled lesions) drawn from &gt;=3 sites. (B) Small reference: 500-study reproducible run. (C) Scale corpus: 150k–200k studies for final pretraining. Holdouts: reserve &gt;=20% centers as unseen test set; additionally hold out 2–4 external sites for retrospective validation. Baselines: (1) supervised models trained from scratch per task, (2) 3D MAE masked autoencoder pretraining, (3) contrastive SSL (3D instance discrimination), (4) pixel-space diffusion pretraining, (5) latent diffusion without clinical metadata. Tasks and metrics: Segmentation: Dice coefficient, volumetric error (%) and lesion-wise sensitivity; Detection: sensitivity@1 FP/scan and FROC; Diagnosis: AUC and calibration (Brier score); Prognosis: C-index; Reconstruction/virtual CTA: HU bias (mean error in soft-tissue ROIs), SSIM, PSNR; OOD detection: AUROC of OOD score; Uncertainty calibration: expected calibration error (ECE). Experimental setup: fix random seeds, report full hyperparameters and compute hours. Train/val/test splits: per-center stratified splits with patient-level separation; fine-tuning uses identical labeled sets across methods. Ablation 1 (core): compare latent diffusion vs pixel diffusion vs MAE vs contrastive SSL on downstream segmentation and diagnosis after fine-tuning using identical labeled data. Ablation 2 (modality): compare image-only pretraining vs image+clinical metadata fusion. Ablation 3 (sinogram): compare image-domain-only pretraining vs sinogram-conditioned pretraining on sites with projections and on simulated-projection fallbacks. Label-efficiency study: measure downstream task performance at 1%, 10%, 25%, 100% of labeled data and plot performance vs label fraction. Statistical tests: DeLong for AUC differences, bootstrap CI for Dice and SSIM; declare improvements significant at p&lt;0.05 with pre-specified multiplicity control. Reproducibility: publish seeds, splits, configs, container images, and small-run checkpoints.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provenance gaps: missing per-site metadata, inconsistent protocols, or restricted DUAs may bias training or prevent sinogram use. 2) Sinogram scarcity: raw projection data likely available at only a minority of sites, limiting physics-aware pretraining benefits. 3) Label bias: annotation variability, small subgroup counts, or class imbalance can degrade fairness claims and subgroup power. 4) Compute scaling: full pretraining requires hundreds of thousands of A100-equivalent GPU-hours and tens of TB of storage, limiting reproducibility for resource-limited groups. 5) Generalization limits: model may overfit to vendor-specific reconstruction kernels or dose regimes and fail on unseen scanner/reconstruction combinations. 6) OOD and adversarial failure: uncertainty methods may not detect all clinically relevant distribution shifts, leading to silent failures. 7) Regulatory and privacy constraints: sharing raw DICOM or sinograms may be legally restricted and synthetic outputs may still carry re-identification risk. 8) Surgical navigation limits: 3D registration and coordinate accuracy may not meet strict millimeter-level requirements without dedicated in‑OR calibration and validation. 9) Statistical risk: multiplicity and underpowered subgroup analyses can produce spurious claims. 10) Clinical utility uncertainty: improved technical metrics may not translate directly to decision-impact without prospective studies.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