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remote_personalized_nutrition_rct</w:t>
      </w:r>
    </w:p>
    <w:p>
      <w:r>
        <w:t xml:space="preserve"> </w:t>
      </w:r>
    </w:p>
    <w:p>
      <w:pPr>
        <w:pStyle w:val="Heading2"/>
      </w:pPr>
      <w:r>
        <w:t>Title</w:t>
      </w:r>
    </w:p>
    <w:p>
      <w:r>
        <w:t>A fully remote randomized controlled trial evaluating self-collected anthropometrics and personalized nutrition with and without personalized food boxes in adults with overweight or obesity</w:t>
      </w:r>
    </w:p>
    <w:p>
      <w:r>
        <w:t xml:space="preserve"> </w:t>
      </w:r>
    </w:p>
    <w:p>
      <w:pPr>
        <w:pStyle w:val="Heading2"/>
      </w:pPr>
      <w:r>
        <w:t>Short Hypothesis</w:t>
      </w:r>
    </w:p>
    <w:p>
      <w:r>
        <w:t>Adults with overweight or obesity who receive personalized digital nutrition advice will lose more body weight at 12 weeks than those who receive generic digital nutrition advice, as measured by the median of triplicate self-measured weights.</w:t>
      </w:r>
    </w:p>
    <w:p>
      <w:r>
        <w:t xml:space="preserve"> </w:t>
      </w:r>
    </w:p>
    <w:p>
      <w:pPr>
        <w:pStyle w:val="Heading2"/>
      </w:pPr>
      <w:r>
        <w:t>Related Work</w:t>
      </w:r>
    </w:p>
    <w:p>
      <w:r>
        <w:t>Remote digital nutrition trials have tested personalized advice and generic advice, often showing modest improvements in weight and engagement. Prior studies have used self-reported or clinician-measured outcomes, small or absent validation substudies for self-measurement, and limited methods to correct measurement error. Machine learning has been applied to photo-based dietary assessment and image QC, but published models often lack balanced subgroup validation (skin tone, device type, BMI), transparent calibration uncertainty, and standardized AI/manual audit rules. Dietary triangulation using biomarkers (spot urine) is used infrequently and with conversion equations that may be biased across populations. Existing gaps include inconsistent measurement validation size and timing, unclear rules for when to apply regression-calibration, sparse MNAR sensitivity plans, limited equity/device provisioning, and under-specified multiplicity and secondary estimands.</w:t>
      </w:r>
    </w:p>
    <w:p>
      <w:r>
        <w:t xml:space="preserve"> </w:t>
      </w:r>
    </w:p>
    <w:p>
      <w:pPr>
        <w:pStyle w:val="Heading2"/>
      </w:pPr>
      <w:r>
        <w:t>Abstract</w:t>
      </w:r>
    </w:p>
    <w:p>
      <w:r>
        <w:t>Problem: Fully remote trials using participant-collected weights and photos can increase reach but raise questions about measurement accuracy, analysis validity, and user experience. Approach: Conduct a three-arm, fully online randomized trial comparing personalized nutrition, personalized nutrition plus personalized food boxes, and generic advice among adults with overweight or obesity. Key elements include a prespecified validation substudy (minimum N=120 paired self + reference measures), automated AI quality control with manual audit, regression-calibration for measurement error, and an explicit statistical analysis plan using mixed models and multiple imputation with calibration-draws. Main contribution: An operationally detailed, analysis-ready protocol that links participant-facing SOPs, AI QC thresholds, calibration decision rules, and a reproducible inferential pipeline that reports both unadjusted and measurement-error–adjusted treatment effects. Expected outcome: Demonstrate whether self-collected data are feasible and sufficiently accurate to detect clinically meaningful weight change at 12 weeks and quantify how calibration and AI QC alter effect estimates and precision.</w:t>
      </w:r>
    </w:p>
    <w:p>
      <w:r>
        <w:t xml:space="preserve"> </w:t>
      </w:r>
    </w:p>
    <w:p>
      <w:pPr>
        <w:pStyle w:val="Heading2"/>
      </w:pPr>
      <w:r>
        <w:t>Methodology</w:t>
      </w:r>
    </w:p>
    <w:p>
      <w:r>
        <w:t>Overview: Implement a fully remote 3-arm RCT with centralized randomization and a 1-week run-in. Recruitment and run-in: screen, e-consent, ID selfie + photo ID, and baseline triplicate self-measures plus a 3-day photo-assisted dietary recall before randomization. Equipment and SOPs: ship study scale (0.1 kg resolution), tape, and short microvideos; require morning, after-void, light-clothing triplicate weights with timestamped scale photos and two waist measures with landmarked tape photos. Validation substudy: collect paired self and reference measures within 48 hours for at least N=120 participants; collect triplicates on both methods. AI QC and manual audit: apply an AI model to detect readable photos with targets sensitivity ≥95% and specificity ≥90%; manually review all AI-fails and a random 10% of AI-passes. Personalization rules: compute TDEE using Mifflin–St Jeor × activity factor; default −500 kcal/day deficit; protein 1.2–1.6 g/kg ideal body weight; macronutrient bounds and tailored meal templates map to preferences. Measurement-error correction: fit regression-calibration models using validation substudy output to estimate mean bias and slope; if 95% CI for mean bias excludes ±0.5 kg (weight) or ±1.0 cm (waist) apply calibration to outcomes. Explanation of technical terms: regression-calibration = a statistical adjustment that corrects biased measurements using a model learned from paired reference data; ICC (intraclass correlation) = a measure of consistency between self and reference measures; LMM (linear mixed model) = a regression that handles repeated measures per person; multiple imputation = a method that fills in missing data multiple times to reflect uncertainty. Analysis pipeline: primary outcome is median of triplicate weights at baseline and 12 weeks; primary model is an LMM with fixed effects for arm, time, arm×time, baseline weight, stratification covariates (sex, BMI category), random intercept for participant; perform regression-calibration before or within imputation draws and propagate calibration uncertainty by sampling calibration parameters during bootstraps or imputations. Missing data: use MICE with m=50 imputations and include calibration draws, adherence metrics, demographics and expectation scores; prespecify MNAR deltas for sensitivity analyses.</w:t>
      </w:r>
    </w:p>
    <w:p>
      <w:r>
        <w:t xml:space="preserve"> </w:t>
      </w:r>
    </w:p>
    <w:p>
      <w:pPr>
        <w:pStyle w:val="Heading2"/>
      </w:pPr>
      <w:r>
        <w:t>Experiments</w:t>
      </w:r>
    </w:p>
    <w:p>
      <w:r>
        <w:t>Dataset definitions: (A) full trial dataset of randomized participants with repeated self-measures, logs, and dietary photos; (B) validation substudy dataset with paired self and reference measures (N≥120); (C) biomarker subsample with spot urine sodium and urinary nitrogen (n≈subsample). Sample size and allocation: randomized 1:1:1 to Generic (G), Personalized (P), Personalized+Food box (P+F); target N=150 per arm for primary analysis (expected scenario) with Bonferroni-adjusted alpha=0.025 per pairwise comparison and 80% power to detect 1.5 kg difference assuming observed SDs informed by simulations. Baselines: Generic advice arm is primary control. Metrics: Primary metric = change in body weight (kg) baseline→12 weeks using median of triplicates. Secondary metrics = change in waist (cm), proportion achieving ≥5% weight loss, adherence score (continuous), first-pass usable rate (%), mean bias (self − reference), ICC, and calibration-adjusted treatment effect. Analysis models: primary = LMM with listed covariates and robust SEs; present unadjusted and regression-calibrated estimates with bootstrapped SEs that include calibration uncertainty; missingness handled by MICE m=50. Experimental comparisons and ablations: 1) Main comparisons: P vs G and P+F vs G (Bonferroni α=0.025). 2) Ablation A (measurement correction): compare treatment effects estimated without calibration, with regression-calibration, and with SIMEX. 3) Ablation B (triplicate summary): compare use of median vs mean of triplicate weights for primary outcome. 4) Ablation C (AI QC): compare analysis run on full dataset vs dataset restricted to records passing first-pass AI QC; report changes in bias, SE, and power. Validation analyses: compute Bland–Altman limits, mean bias with 95% CI, ICC, and fit regression-calibration models; report calibration model coefficients and CIs; run Monte Carlo power simulations (≥1000 replicates) varying true SD (3.0–4.5 kg), measurement-error SD (0–2.0 kg), adherence rates (50, 65, 80%), and missingness patterns (MCAR, MAR, MNAR with δ ∈ {−1.5, −0.75, 0, +0.75, +1.5} kg). Reproducibility: fix random seeds, publish simulation and analysis scripts, and use at least 1000 simulation replicates for power tables.</w:t>
      </w:r>
    </w:p>
    <w:p>
      <w:r>
        <w:t xml:space="preserve"> </w:t>
      </w:r>
    </w:p>
    <w:p>
      <w:pPr>
        <w:pStyle w:val="Heading2"/>
      </w:pPr>
      <w:r>
        <w:t>Risk Factors And Limitations</w:t>
      </w:r>
    </w:p>
    <w:p>
      <w:r>
        <w:t>Technical failures: AI misclassification of photos, failed uploads, or server outages that reduce usable data. Measurement errors: systematic bias in self-measured weights or waist (e.g., wrong landmarking) that exceed correction assumptions. Validation limits: validation substudy may not represent all device types, skin tones, or lighting, limiting generalizability of calibration. MNAR missingness: dropout correlated with weight change (missing not at random) can bias effect estimates despite sensitivity analyses. Biomarker conversion: spot urine equations (Tanaka/Kawasaki) may be biased in this population and may not validate to 24-h values. Equity constraints: limited loaner device availability or language coverage may yield under-representation of some groups. Computational limits: model training for image QC and large bootstrap/imputation nested draws may require substantial compute and slow turnaround. Statistical limits: Bonferroni adjustment reduces per-comparison power; small true effects may be undetectable. External validity: results may not generalize to populations with different cultures, food systems, or lower digital literacy. Regulatory/privacy risks: cross-jurisdiction data transfer or inconsistent consent could restrict data sharing or prolong governance approvals.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