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gbs_chromogenic_spectroscopy_poct</w:t>
      </w:r>
    </w:p>
    <w:p>
      <w:r>
        <w:t xml:space="preserve"> </w:t>
      </w:r>
    </w:p>
    <w:p>
      <w:pPr>
        <w:pStyle w:val="Heading2"/>
      </w:pPr>
      <w:r>
        <w:t>Title</w:t>
      </w:r>
    </w:p>
    <w:p>
      <w:r>
        <w:t>Quantitative point-of-care identification of Group B Streptococcus by measuring chromogenic culture pigment with absorption spectroscopy</w:t>
      </w:r>
    </w:p>
    <w:p>
      <w:r>
        <w:t xml:space="preserve"> </w:t>
      </w:r>
    </w:p>
    <w:p>
      <w:pPr>
        <w:pStyle w:val="Heading2"/>
      </w:pPr>
      <w:r>
        <w:t>Short Hypothesis</w:t>
      </w:r>
    </w:p>
    <w:p>
      <w:r>
        <w:t>Measuring pigment concentration from chromogenic culture media by specific absorption spectroscopy and mapping absorbance to CFU equivalents will detect GBS colonization with sensitivity and specificity comparable to enriched culture within a 4–6 hour incubation.</w:t>
      </w:r>
    </w:p>
    <w:p>
      <w:r>
        <w:t xml:space="preserve"> </w:t>
      </w:r>
    </w:p>
    <w:p>
      <w:pPr>
        <w:pStyle w:val="Heading2"/>
      </w:pPr>
      <w:r>
        <w:t>Related Work</w:t>
      </w:r>
    </w:p>
    <w:p>
      <w:r>
        <w:t>Existing point-of-care methods for GBS use culture on chromogenic media, optical detection of pigments, electrochemical sensors, or molecular tests (PCR/LAMP). Chromogenic culture is simple and low cost but historically relies on visual reads or long incubation and misses non-pigmented strains. Optical biosensors improve readout but face turbidity, sample matrix interference (blood, mucus), and calibration drift. Electrochemical and molecular POCTs give faster or more sensitive results but add cost, complexity, or supply dependencies. Prior optical methods often lack robust calibration to CFU, do not correct scattering reliably, and do not combine pigment and enzyme routes to cover non-pigmented strains. Regulatory and usability gaps remain for translating lab optics into a sealed POCT cartridge with per-run QC and reproducible calibration transfer.</w:t>
      </w:r>
    </w:p>
    <w:p>
      <w:r>
        <w:t xml:space="preserve"> </w:t>
      </w:r>
    </w:p>
    <w:p>
      <w:pPr>
        <w:pStyle w:val="Heading2"/>
      </w:pPr>
      <w:r>
        <w:t>Abstract</w:t>
      </w:r>
    </w:p>
    <w:p>
      <w:r>
        <w:t>We address rapid antepartum screening for Group B Streptococcus (GBS) by developing a point-of-care test that converts chromogenic culture pigment signals into quantitative colony-forming unit (CFU) equivalents using absorption spectroscopy. The device measures optical absorbance of chromogenic media after brief microvolume enrichment and converts light measurements to electrical signals, applies turbidity correction, and maps spectroscopic features to log10 CFU using calibrated models. The approach combines two chemistry routes: retained granadaene-based detection for pigmented strains and a soluble enzyme-substrate reporter (e.g., hippurate or p-nitrophenyl esters) for non-pigmented strains. Main contributions are (1) a dual-chemistry assay enabling broader coverage of GBS phenotypes, (2) a dual-wavelength optical read with per-run dye QC and calibration transfer protocol, and (3) signal-processing models that predict CFU equivalents and binary colonization bands within 4–6 hours. Expected impact is a low-cost, quantitative POCT to inform intrapartum prophylaxis decisions and reduce reliance on centralized labs.</w:t>
      </w:r>
    </w:p>
    <w:p>
      <w:r>
        <w:t xml:space="preserve"> </w:t>
      </w:r>
    </w:p>
    <w:p>
      <w:pPr>
        <w:pStyle w:val="Heading2"/>
      </w:pPr>
      <w:r>
        <w:t>Methodology</w:t>
      </w:r>
    </w:p>
    <w:p>
      <w:r>
        <w:t>Overview: build a sealed single-use cartridge and instrument that measure pigment absorbance after brief enrichment and/or enzyme reaction, then convert absorbance to CFU equivalents with calibrated models. Steps: 1) Sample collection and elution: use a flocked rectovaginal swab and elute into 1.0 mL elution buffer (PBS pH7.2, 0.05% Tween-20, 0.1% BSA, 0.5% polysorbate 80, 0.3% lecithin). Explain: a flocked swab has many short fibers that release cells well. 2) Micro-enrichment: add eluted sample to a 1.0 mL mini-LIM enrichment in the cartridge (Todd-Hewitt base + yeast extract + glucose with selective antibiotics) and incubate at 35±1°C for up to 6 hours. Explain: enrichment increases bacterial number to improve signal. 3) Dual chemistry: (A) granadaene/pigment read — measure chromogenic pigment produced by pigmented GBS strains; (B) soluble enzyme reporter — include lyophilized enzyme substrate (hippurate-coupled colorimetric reagent or p-nitrophenyl ester) in a reaction well to produce soluble colored product for non-pigmented strains. Explain: hippurate hydrolysis releases glycine which can be detected by a color reagent; p-nitrophenyl esters release p-nitrophenol, a yellow chromophore. 4) Optical measurement: use transmission absorption spectroscopy with two LEDs: primary centered ~540 nm (pigment/chromogen) and reference ~650 nm (scattering baseline). Fixed optical path 4–6 mm, opposing photodiode, dark read, and per-run blank and sealed dye positive control. Explain: measuring at two wavelengths helps correct light scattering from turbidity. 5) Signal processing: perform dark subtraction (remove sensor dark current), compute transmittance and absorbance A = -log10(T), apply temperature compensation using onboard thermistor, and compute turbidity-corrected absorbance A_corr = A_primary - alpha * A_reference where alpha is fitted using standards. Extract kinetic features (slope, time-to-threshold). 6) Calibration and mapping: calibrate absorbance to pigment concentration using certified dyes, then map pigment concentration and kinetic features to log10 CFU via regression models (ridge regression or partial least squares). Explain: regression learns the numerical mapping from optical signals to bacterial counts. 7) QC and lot control: include per-run blank and sealed dye positive well, and lyophilized killed GBS vials for lot QC. 8) Algorithm validation: use nested cross-validation and an independent test set; freeze thresholds after pilot. Explain: nested cross-validation helps prevent overfitting and an independent test set tests generalization.</w:t>
      </w:r>
    </w:p>
    <w:p>
      <w:r>
        <w:t xml:space="preserve"> </w:t>
      </w:r>
    </w:p>
    <w:p>
      <w:pPr>
        <w:pStyle w:val="Heading2"/>
      </w:pPr>
      <w:r>
        <w:t>Experiments</w:t>
      </w:r>
    </w:p>
    <w:p>
      <w:r>
        <w:t>In vitro dataset: assemble &gt;=40 strains including diverse GBS (pigmented and non-pigmented) and non-GBS vaginal flora (Lactobacillus, Gardnerella, Enterococcus, Streptococcus A/C/G, Bacteroides, Prevotella, Corynebacterium, E. coli, Candida, Mycoplasma/Ureaplasma). For each GBS strain run serial dilutions at 1e2, 1e3, 1e4, 1e5, 1e6, 1e7, 1e8 CFU/mL in triplicate across three days (&gt;=180 datapoints). Spike background high-load non-GBS mixes (1e6–1e8 CFU/mL) and matrices (saline, mucus simulant, 0.5% whole blood). Baselines: enriched culture (mini-LIM overnight) and PCR on same samples. Clinical datasets: Pilot prospective paired-swab n=200 (PCR on all), Pivotal paired-swab n=400–500 (PCR on discordants + 10% concordants if resources limited). Baseline methods: standard selective enriched culture (reference) and PCR. Optical setup: LEDs at 540±10 nm and 650±10 nm, path 4–6 mm, 16-bit ADC, switchable TIA gains. Evaluation metrics: analytical LOD (lowest CFU/mL with &gt;=95% detection), sensitivity and specificity vs reference with 95% CI, RMSE and bias for log10 CFU prediction, intra-run and inter-run CV (%), SNR, AUC for binary classification, time-to-detection distribution (TTD), and false-positive rate on exclusivity panel. Experimental procedures: test each chemistry route (granadaene-only, enzyme-only, combined) and run kinetic reads every 10–30 minutes up to 6 hours. Calibration transfer experiment: test 10 instruments and 3 cartridge lots with same calibration and report instrument bias and per-lot CV. Ablation studies: 1) Turbidity correction ablation: compare models with and without A_reference correction. 2) Chemistry ablation: compare granadaene-only, enzyme-only, and combined detection for sensitivity and coverage of non-pigmented strains. 3) Endpoint vs kinetic: compare endpoint at 6 h vs kinetic model using time-series features for earlier decision (2, 4, 6 h). Statistical analysis: nested cross-validation for model selection on in vitro data, then evaluate final locked model on independent clinical pilot set; report exact Clopper-Pearson CIs for sensitivity/specificity.</w:t>
      </w:r>
    </w:p>
    <w:p>
      <w:r>
        <w:t xml:space="preserve"> </w:t>
      </w:r>
    </w:p>
    <w:p>
      <w:pPr>
        <w:pStyle w:val="Heading2"/>
      </w:pPr>
      <w:r>
        <w:t>Risk Factors And Limitations</w:t>
      </w:r>
    </w:p>
    <w:p>
      <w:r>
        <w:t>Granadaene instability and cell association may limit soluble pigment signal and increase variability. Non-pigmented GBS strains may not produce pigment, causing false negatives if enzyme route fails. Sample contaminants (blood, mucus, vaginal pigments) can change absorbance spectra and cause false positives or erroneous CFU estimates. Turbidity and scattering violate Beer-Lambert law and may limit linear mapping between absorbance and CFU, especially at high biomass. Reagent stability (ninhydrin-like reagents, enzyme substrates) may degrade at room temperature; lyophilization processes add complexity. Calibration transfer risks: instrument-to-instrument and lot-to-lot bias may require frequent recalibration. Time-to-result (4–6 hours) may not meet some clinical workflows requiring immediate decisions. Human factors: swab collection and elution variability will introduce pre-analytic noise. Clinical generalization risk: strain diversity or geographic variation may reduce model accuracy. Regulatory and biosafety constraints may slow deployment. Computational limits: real-time kinetic models require logging and storage; limited onboard compute may constrain complex models. No mitigation steps are listed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