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tin_provenance_south_africa</w:t>
      </w:r>
    </w:p>
    <w:p>
      <w:r>
        <w:t xml:space="preserve"> </w:t>
      </w:r>
    </w:p>
    <w:p>
      <w:pPr>
        <w:pStyle w:val="Heading2"/>
      </w:pPr>
      <w:r>
        <w:t>Title</w:t>
      </w:r>
    </w:p>
    <w:p>
      <w:r>
        <w:t>Integrating lead and tin isotope ratios with trace‑element chemistry to identify geographic sources of tin in southern African bronzes (1200–1800 CE)</w:t>
      </w:r>
    </w:p>
    <w:p>
      <w:r>
        <w:t xml:space="preserve"> </w:t>
      </w:r>
    </w:p>
    <w:p>
      <w:pPr>
        <w:pStyle w:val="Heading2"/>
      </w:pPr>
      <w:r>
        <w:t>Short Hypothesis</w:t>
      </w:r>
    </w:p>
    <w:p>
      <w:r>
        <w:t>If tin used in southern African bronzes originates from distinct cassiterite deposits, then joint measurement of lead isotopes, tin isotopes, and trace‑element profiles plus metallurgical offset priors will assign artifacts to their correct deposit with posterior probability ≥0.80.</w:t>
      </w:r>
    </w:p>
    <w:p>
      <w:r>
        <w:t xml:space="preserve"> </w:t>
      </w:r>
    </w:p>
    <w:p>
      <w:pPr>
        <w:pStyle w:val="Heading2"/>
      </w:pPr>
      <w:r>
        <w:t>Related Work</w:t>
      </w:r>
    </w:p>
    <w:p>
      <w:r>
        <w:t>Previous provenance work on bronze artifacts has used single or paired chemical tracers (for example lead isotopes or trace elements) to infer source regions. Some studies have begun to add tin isotopes, and others have used in‑situ laser analyses to capture heterogeneity. Limitations remain: ore reference databases are sparse or unevenly sampled, metallurgical processes (smelting, alloying, recycling) that shift isotopic and elemental signatures are poorly constrained, there is no widely distributed Sn isotope CRM (certified reference material) and inter‑lab bias is incompletely quantified, and many prior models do not explicitly represent unsampled or mixed recycled pools. Existing LA protocols often lack reproducible fractionation correction for Sn isotopes at small spot sizes. Statistical approaches have not consistently propagated analytical, metallurgical and inter‑lab uncertainties together, which risks overconfident assignments.</w:t>
      </w:r>
    </w:p>
    <w:p>
      <w:r>
        <w:t xml:space="preserve"> </w:t>
      </w:r>
    </w:p>
    <w:p>
      <w:pPr>
        <w:pStyle w:val="Heading2"/>
      </w:pPr>
      <w:r>
        <w:t>Abstract</w:t>
      </w:r>
    </w:p>
    <w:p>
      <w:r>
        <w:t>We address the problem of identifying geographic tin sources for southern African bronzes dated 1200–1800 CE by integrating lead isotopes, tin isotopes, and trace‑element chemistry in a unified provenance framework. The approach combines targeted ore‑reference sampling, controlled metallurgical experiments to quantify process offsets, high‑precision laboratory measurements (double‑spike Sn isotope MC‑ICP‑MS, TIMS/MC‑ICP‑MS for Pb, solution and LA‑ICP‑MS for trace elements), and a hierarchical Bayesian mixture model that includes a latent recycled/alloy pool and an explicit unknown‑source component. Main contributions are (1) empirical offset kernels from smelting/alloying experiments, (2) a cross‑lab Sn round‑robin to characterize an in‑house Sn CRM and quantify inter‑lab bias, and (3) a joint statistical model that propagates analytical and process uncertainty and can flag unsampled sources. Expected outcomes are reproducible, probabilistic source attributions for the 153‑sample corpus and transparent thresholds for assignment confidence that support archaeological interpretation and stakeholder reporting.</w:t>
      </w:r>
    </w:p>
    <w:p>
      <w:r>
        <w:t xml:space="preserve"> </w:t>
      </w:r>
    </w:p>
    <w:p>
      <w:pPr>
        <w:pStyle w:val="Heading2"/>
      </w:pPr>
      <w:r>
        <w:t>Methodology</w:t>
      </w:r>
    </w:p>
    <w:p>
      <w:r>
        <w:t>1) Sample selection and documentation: record conservation history, photograph each object, and choose fresh interior drill locations; log metadata (unique ID, site coordinates, context, date). 2) Conservation pretreatment: sequential solvent swab (non‑polar solvent → acetone → ethanol) with blanks; record swab chemistry. 3) Sampling: microdrill interior metal for 50–150 mg when possible; for low mass use 10–30 mg microdrills and/or LA spots (≥25 µm). 4) Laboratory analyses: a) Sn isotopes: add 117Sn–119Sn double spike, chemically separate Sn, measure by MC‑ICP‑MS with full double‑spike inversion; b) Pb isotopes: dissolve aliquot, separate Pb on ion resin and measure by TIMS if Pb ≥200 ng, otherwise MC‑ICP‑MS; c) Trace elements: solution ICP‑MS for bulk concentrations and LA‑ICP‑MS for inclusions/heterogeneity. 5) Ore references: collect 5–20 cassiterite specimens per candidate deposit with mineral separates, host rock, SEM‑EDS and LA inclusion chemistry. 6) Metallurgical experiments: run controlled ore→metal reduction, alloying (Cu–Sn at 5–20 wt% Sn) and recycling cycles (≥5 cycles) under varied temperatures (700–900°C), atmospheres and fluxes; measure Sn/Pb isotopes and trace elements pre/post steps. 7) Inter‑lab standardization: run a cross‑lab round‑robin to assign values to an in‑house Sn metal/bronze standard and quantify lab biases. 8) Data processing: transform element data with centered log‑ratio (CLR) or isometric log‑ratio (ILR); aggregate measurement uncertainty and metallurgical offset kernels. 9) Modelling: implement a hierarchical Bayesian mixture model that jointly fits isotopes and transformed elements, includes latent recycled and unknown endmembers, and models inter‑lab bias terms. 10) Reproducibility: store raw ion files, processed tables and code; containerize pipelines (Docker) and archive datasets with DOIs.</w:t>
      </w:r>
    </w:p>
    <w:p>
      <w:r>
        <w:t xml:space="preserve"> </w:t>
      </w:r>
    </w:p>
    <w:p>
      <w:pPr>
        <w:pStyle w:val="Heading2"/>
      </w:pPr>
      <w:r>
        <w:t>Experiments</w:t>
      </w:r>
    </w:p>
    <w:p>
      <w:r>
        <w:t>Datasets: (A) Pilot artifacts: 15 curated samples (6 production waste, 4 securely dated contexts, 3 likely imports, 2 institutional duplicates). (B) Full corpus: 153 bronze/tin artifacts. (C) Ore reference: 5–20 cassiterite specimens per candidate deposit. (D) Metallurgical experiments: factorial cells combining temperatures 700/800/900°C × atmospheres (charcoal reducing, inert) × fluxes (none, silica, carbonate) × recycling cycles (0,1,5), with n=3 replicates per cell (n=5 for critical cells). Baselines: (1) Pb‑only assignment, (2) trace‑elements‑only, (3) Sn‑only, (4) Pb+trace (no Sn), (5) Pb+Sn+trace without metallurgical offset priors, (6) full joint model with offset priors and unknown endmember. Analytical setup: Sn double‑spike MC‑ICP‑MS (target 2σ ≤0.05 ‰), Pb TIMS when possible (target 2σ ≤0.002), solution ICP‑MS trace elements (≤5% RSD), LA‑ICP‑MS for heterogeneity (spot sizes 25–100 µm). Blind proficiency: circulate 6–8 specimens to participating labs and collect raw and reduced data. Evaluation metrics: assignment accuracy on known‑provenance items, ROC curves, confusion matrices, posterior calibration (Brier score), credible interval coverage, minimum detectable mixture fraction, and inter‑lab bias estimates. Validation procedures: leave‑one‑deposit‑out cross‑validation; posterior predictive checks; ablation studies removing (a) metallurgical offsets, (b) trace elements, and (c) unknown endmember to measure impact on accuracy and calibration. Reporting: compute per‑artifact posterior probability vector over deposits and flag assignments with posterior &lt;0.50 as unknown and 0.50–0.80 as ambiguous.</w:t>
      </w:r>
    </w:p>
    <w:p>
      <w:r>
        <w:t xml:space="preserve"> </w:t>
      </w:r>
    </w:p>
    <w:p>
      <w:pPr>
        <w:pStyle w:val="Heading2"/>
      </w:pPr>
      <w:r>
        <w:t>Risk Factors And Limitations</w:t>
      </w:r>
    </w:p>
    <w:p>
      <w:r>
        <w:t>1) Sample mass limits: small or culturally sensitive artifacts may yield insufficient material for solution methods, reducing precision. 2) Surface corrosion and conservation residues: incomplete removal can bias Sn and trace‑element measurements; microdrill samples may still not represent bulk metal. 3) Incomplete ore sampling: unsampled tin sources can produce misassignments or force the model to allocate to the unknown pool, limiting geographic resolution. 4) Inter‑lab bias and CRM absence: lack of an international Sn CRM means cross‑lab calibration depends on the round‑robin; residual biases may widen uncertainty. 5) LA fractionation: laser ablation can introduce unstable fractionation for Sn isotopes at small spot sizes, degrading accuracy. 6) Metallurgical complexity: recycling, mixing and variable fluxes can produce overlapping signatures that reduce identifiability. 7) Safety and handling: HF use for cassiterite residues carries chemical hazards and waste disposal constraints. 8) Computational complexity: hierarchical Bayesian models with many endmembers and covariance structures may require high compute and careful convergence checks. 9) Generalization limits: results apply to sampled deposits and time window (1200–1800 CE) and may not extrapolate to other regions or periods.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