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Tracing long-term technological trajectories in iron smelting at Phnom Dek through integrated slag geochemistry, isotope provenance, and experimental replication</w:t>
      </w:r>
    </w:p>
    <w:p>
      <w:r>
        <w:t xml:space="preserve"> </w:t>
      </w:r>
    </w:p>
    <w:p>
      <w:pPr>
        <w:pStyle w:val="Heading2"/>
      </w:pPr>
      <w:r>
        <w:t>Short Hypothesis</w:t>
      </w:r>
    </w:p>
    <w:p>
      <w:r>
        <w:t>If distinct smelting recipes and transmission pathways operated at Phnom Dek over time, then slag chemical and isotopic signatures will form temporally structured, reproducible clusters that can be matched by controlled experimental smelts replicating archaeological phase proportions.</w:t>
      </w:r>
    </w:p>
    <w:p>
      <w:r>
        <w:t xml:space="preserve"> </w:t>
      </w:r>
    </w:p>
    <w:p>
      <w:pPr>
        <w:pStyle w:val="Heading2"/>
      </w:pPr>
      <w:r>
        <w:t>Related Work</w:t>
      </w:r>
    </w:p>
    <w:p>
      <w:r>
        <w:t>Previous archaeometallurgical work at Phnom Dek and comparable South-East Asian sites has documented persistent high liquidus temperatures in slags and long-term continuity in smelting techniques, and has used major-oxide and some trace-element analyses to characterize slag composition. Limitations of prior approaches include reliance on whole-rock chemistry without systematic leach controls for alteration, sparse isotopic (Pb, Fe) protocols or lack of double-spike Fe fractionation control, limited inter-laboratory calibration, small or uneven sample sizes across long time spans, and weak links between experimental smelts and archaeological microstructure/phase proportions. Statistical treatment of compositional data has often been ad hoc rather than using Aitchison/CoDA frameworks and Bayesian temporal models, and ore-reference coverage is typically insufficient to capture within-source heterogeneity. These gaps hinder robust inference about recipe change, provenance, and transmission.</w:t>
      </w:r>
    </w:p>
    <w:p>
      <w:r>
        <w:t xml:space="preserve"> </w:t>
      </w:r>
    </w:p>
    <w:p>
      <w:pPr>
        <w:pStyle w:val="Heading2"/>
      </w:pPr>
      <w:r>
        <w:t>Abstract</w:t>
      </w:r>
    </w:p>
    <w:p>
      <w:r>
        <w:t>This study tests whether long-term technological change and transmission in iron smelting at Phnom Dek (7th–20th c. CE) produced distinct, temporally structured slag signatures that can be reproduced experimentally. We combine systematic sampling and dating, compositional and isotopic analyses (major oxides, trace elements, Pb isotopes, δ56Fe with double-spike), alteration screening (LOI and petrography), and staged experimental smelts whose output is analysed with identical methods. The main contribution is an integrated, reproducible pipeline linking archaeological slags, ore references, and controlled smelts through compositional data analysis and Bayesian temporal models to identify recipe clusters and change points. Expected outcomes are: (1) validated leach vs whole-rock decision rules for tropical slags, (2) a calibrated isotope/trace fingerprint database for local ores, (3) experimental validation of recipe→slag relationships, and (4) high-resolution timing of technological shifts. Results will clarify continuity and transmission of metallurgical traditions and provide an open, preregistered protocol for archaeometallurgy in weathered tropical contexts.</w:t>
      </w:r>
    </w:p>
    <w:p>
      <w:r>
        <w:t xml:space="preserve"> </w:t>
      </w:r>
    </w:p>
    <w:p>
      <w:pPr>
        <w:pStyle w:val="Heading2"/>
      </w:pPr>
      <w:r>
        <w:t>Methodology</w:t>
      </w:r>
    </w:p>
    <w:p>
      <w:r>
        <w:t>1) Field sampling and chronology: select a stratified pilot of ~12 representative archaeological slag fragments (interior glass/prills preserved) plus associated charcoal and furnace fragments; plan full study ~100–150 slag samples distributed across four temporal bins (7th–10th, 11th–14th, 15th–17th, 18th–20th c.). Date short-lived organics (charcoal seeds/twigs) by radiocarbon and model with OxCal sequence/phase models using stratigraphic priors (sequence = ordered contexts; phase = unordered groups). 2) Alteration screening: measure LOI (loss on ignition; simple weight loss on heating indicating volatiles/secondary carbonates) and run optical petrography (thin section) to flag secondary minerals. Adopt LOI bands: ≤5% whole-rock acceptable, 5–12% conditional (paired weak-acetic leach + full digest), &gt;12% prioritize validated leach. 3) Materials analyses: perform petrography, SEM-BSE imaging (texture and phase maps), EPMA (electron probe microanalysis) for major oxides of glass and crystalline phases, XRD with Rietveld refinement for phase proportions, bulk ICP-OES/MS for majors/traces, LA-ICP-MS for spot trace mapping on glass/prills, and MC-ICP-MS for Pb isotopes and double-spike Fe for δ56Fe. Explain technical terms: EPMA measures element concentrations in tiny spots; LA-ICP-MS uses a laser to sample small areas for trace elements; MC-ICP-MS measures isotope ratios precisely. 4) Leach protocol (operational): apply a weak acetic acid leach to conditional samples (see Experiments for exact recipe parameters) and archive both leachate and residue; compare leach vs full digest for provenance-sensitive ratios. 5) Ore reference and GIS: collect 30–50 ore/stream samples using stratified transects near likely exploitation zones (100–200 m grid at key outcrops) plus regional reconnaissance. 6) Experimental smelts: Phase 1 exploratory small smelts (0.5–1 kg ore) to map parameters; Phase 2 scaled smelts (3–8 kg ore) with ≥3 replicates per core recipe; record thermocouple logs, blast rates and CO/CO2 where possible. 7) Data analysis: treat compositional data with CoDA transforms (clr and ilr), compute Aitchison distances, run clustering (hierarchical + PAM), use sparse ilr balances / selbal for diagnostics, and run Bayesian changepoint and mixing models (Stan/brms) that propagate analytical uncertainties and blanks. 8) QA/QC and inter-lab: implement a 3-lab round-robin with matrix-matched CRMs and predefined acceptance criteria for majors, traces and isotopes. Document all metadata in a DMP and preregister models and decision rules.</w:t>
      </w:r>
    </w:p>
    <w:p>
      <w:r>
        <w:t xml:space="preserve"> </w:t>
      </w:r>
    </w:p>
    <w:p>
      <w:pPr>
        <w:pStyle w:val="Heading2"/>
      </w:pPr>
      <w:r>
        <w:t>Experiments</w:t>
      </w:r>
    </w:p>
    <w:p>
      <w:r>
        <w:t>Datasets: Archaeological slag set: pilot 12 samples; full study target 100–150 slag samples stratified across four temporal bins (minima per bin: 30, 35, 25, 20 as provisional); ore-reference set: 30–50 samples; experimental outputs: Phase1 6–8 small smelts; Phase2 12–16 full-scale smelts (3 replicates per condition). Baselines: (A) whole-rock-only provenance pipeline, (B) major-oxide PCA/clustering without CoDA transforms, (C) prior published dataset interpretations without experimental linkage. Instrumental setup and sample masses: archive 200–500 mg powder per slag for paired analyses; microdrilled prills 2–20 mg for LA/MC work; EPMA settings: 15 kV, 20 nA, 1–2 µm spot for crystalline phases; LA-ICP-MS spot sizes: 50–100 µm for glass, 30–50 µm for prills, repetition rate 5–10 Hz, fluence tuned per lab CRMs; MC-ICP-MS: double-spike protocol for Fe and standard bracketing for Pb. Leach recipe (operationalized): 1 M acetic acid, solid:liquid 1:20 by mass/volume, room temperature (20–25°C), 24 hours, end-over-end agitation; archive leachate and residue. Evaluation metrics: clustering validity (silhouette score, bootstrap stability), Aitchison distance separability (pairwise median distances), Bayesian changepoint detection power (probability &gt;0.8 to detect effect size d in ilr balances), equivalence tests for experimental vs archaeological phase proportions (predefined ±10 wt% bounds using posterior overlap), isotope reproducibility (δ56Fe ±0.05‰ 1σ target), Pb isotope precision within lab uncertainty. Experimental comparisons/ablations: 1) leach vs whole-rock provenance: run identical models on whole-rock data and leach-derived data and compare classification accuracy to ore-reference set; 2) inclusion/exclusion of experimental δ56Fe offsets in mixing models to measure impact on source assignment; 3) CoDA vs non-CoDA clustering: compare clustering stability and interpretability. Round-robin: three labs analyse identical splits; evaluate pass/fail by majors ±2% rel., traces ±10–15% rel., isotope reproducibility targets; failing labs trigger re-split to alternate lab. Reporting: all code, seeds, and model priors preregistered and archived.</w:t>
      </w:r>
    </w:p>
    <w:p>
      <w:r>
        <w:t xml:space="preserve"> </w:t>
      </w:r>
    </w:p>
    <w:p>
      <w:pPr>
        <w:pStyle w:val="Heading2"/>
      </w:pPr>
      <w:r>
        <w:t>Risk Factors And Limitations</w:t>
      </w:r>
    </w:p>
    <w:p>
      <w:r>
        <w:t>1) Sample alteration bias: pervasive weathering may remove primary signatures and leave insufficient unaltered interior material; 2) Low analyte mass: some prills or low-Pb samples may not yield enough material for MC-ICP-MS, reducing isotopic coverage; 3) Blank contamination: Pb and Fe blanks can bias low-level isotope work; 4) Inter-lab variability: differing instrument protocols may exceed acceptance thresholds and require re-analysis or alternate labs; 5) Dating uncertainty: sparse or contaminated charcoal may broaden OxCal posteriors and weaken temporal assignment; 6) Representativeness: archaeological sampling may undersample practiced heterogeneity or special-purpose smelts; 7) Experimental scaling: replicate smelts at small/medium scale may not fully reproduce industrial-scale thermal regimes and textures; 8) Statistical power limits: despite targets, temporal bins with few samples may lack power to detect moderate effect sizes; 9) Generalizability: findings tied to local ores, fuels and cultural practices may not transfer to other regions; 10) Resource constraints: costs and time for clean‑lab isotope work, CRMs, and repeated experiments may limit sample throughput.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