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composite_bow_eurasia</w:t>
      </w:r>
    </w:p>
    <w:p>
      <w:r>
        <w:t xml:space="preserve"> </w:t>
      </w:r>
    </w:p>
    <w:p>
      <w:pPr>
        <w:pStyle w:val="Heading2"/>
      </w:pPr>
      <w:r>
        <w:t>Title</w:t>
      </w:r>
    </w:p>
    <w:p>
      <w:r>
        <w:t>Integrating iconography, biomolecular assays, and genomic modeling to reassess the origins and spread of the full horn–wood–sinew composite bow in ancient Eurasia</w:t>
      </w:r>
    </w:p>
    <w:p>
      <w:r>
        <w:t xml:space="preserve"> </w:t>
      </w:r>
    </w:p>
    <w:p>
      <w:pPr>
        <w:pStyle w:val="Heading2"/>
      </w:pPr>
      <w:r>
        <w:t>Short Hypothesis</w:t>
      </w:r>
    </w:p>
    <w:p>
      <w:r>
        <w:t>Population movements that introduced non-local ancestry caused the adoption and geographic spread of the full horn–wood–sinew composite bow, so sites experiencing a measurable genetic influx will show increased, contemporaneous material or proteomic evidence for full composite bows within a 200-year window.</w:t>
      </w:r>
    </w:p>
    <w:p>
      <w:r>
        <w:t xml:space="preserve"> </w:t>
      </w:r>
    </w:p>
    <w:p>
      <w:pPr>
        <w:pStyle w:val="Heading2"/>
      </w:pPr>
      <w:r>
        <w:t>Related Work</w:t>
      </w:r>
    </w:p>
    <w:p>
      <w:r>
        <w:t>Prior work relies mainly on three separate approaches: (1) iconographic and typological studies that infer bow technology from imagery and motifs; (2) isolated archaeometric and biomolecular reports identifying adhesives, keratin or collagen residues on arrows and fittings; and (3) ancient DNA (aDNA) studies documenting population movements in Eurasia. Limitations across these approaches include inconsistent or ambiguous definitions of a 'full' composite bow, iconographic misclassification or stylistic ambiguity, small and non-standardized molecular sample sets, lack of reproducible authentication thresholds, sparse linked radiocarbon chronology, and few studies integrating genetic and material lines of evidence. Cultural-phylogenetic quantitative work exists but often uses coarse trait matrices that ignore molecular validation and chronological uncertainty. Overall, existing methods lack a standardized, multi-evidence pipeline that jointly tests whether demographic events causally relate to the appearance and spread of composite-bow technology.</w:t>
      </w:r>
    </w:p>
    <w:p>
      <w:r>
        <w:t xml:space="preserve"> </w:t>
      </w:r>
    </w:p>
    <w:p>
      <w:pPr>
        <w:pStyle w:val="Heading2"/>
      </w:pPr>
      <w:r>
        <w:t>Abstract</w:t>
      </w:r>
    </w:p>
    <w:p>
      <w:r>
        <w:t>This study tests whether demographic movements drove the emergence and spread of the full horn–wood–sinew composite bow in ancient Eurasia by integrating iconographic coding, biomolecular assays, radiocarbon chronology, and ancient genomics within a unified Bayesian inferential framework. We define operational diagnostic criteria for a 'full composite bow' and implement a linked metadata system with canonical identifiers to connect images, artefacts, samples, and human genomes. A pilot sample set (iconographic corpus plus adhesive residues and targeted human individuals) will be analyzed by micro-CT, LC–MS/MS proteomics, GC–MS adhesive chemistry, AMS dating, and low-coverage genome sequencing. We will fuse these data with Bayesian chronological models and hierarchical phylogenetic and regression models that quantify the association between ancestry shifts and trait presence. The main contribution is a reproducible, pre-registered pipeline that provides calibrated thresholds, inter-lab QA, and formal decision rules for classifying evidence streams. Expected outcomes are a temporally resolved map of secure composite-bow occurrences and a quantitative test of demographic vs. independent-invention hypotheses.</w:t>
      </w:r>
    </w:p>
    <w:p>
      <w:r>
        <w:t xml:space="preserve"> </w:t>
      </w:r>
    </w:p>
    <w:p>
      <w:pPr>
        <w:pStyle w:val="Heading2"/>
      </w:pPr>
      <w:r>
        <w:t>Methodology</w:t>
      </w:r>
    </w:p>
    <w:p>
      <w:r>
        <w:t>1) Define operational criteria and confidence scores (0–1) for a 'full horn–wood–sinew composite bow' usable in images and material remains. Confidence indicators include recurved limb profiles, double-convex cross-section, horn nocks, and evidence of layered textures. 2) Build a canonical metadata schema and UniqueID regex that links region, period, site, object, image, sample and individual; enforce with JSON schema validators. 3) Iconography: train coders with decision trees and exemplar images, run inter-coder tests and report Cohen's kappa. (Cohen's kappa measures agreement between coders beyond chance.) 4) Sampling: follow destructive limits (adhesives ≤5 mg preferred), record chain-of-custody and permits. 5) Laboratory assays: micro-CT imaging for laminations; GC–MS to identify adhesive biomarkers (chemical compounds indicating glue types); LC–MS/MS proteomics to detect taxon-specific peptides from horn (keratin) or sinew (collagen). (Proteomics: large-scale study of proteins by mass spectrometry; peptides are short protein fragments used to identify source species.) 6) aDNA: extract and sequence human remains using established aDNA workflows; authenticate by fragmentation and damage patterns. 7) Chronology: AMS radiocarbon dating of adhesives, associated wood, or short-lived context samples; integrate dates in OxCal Bayesian models with outlier and reservoir corrections. 8) Statistical integration: implement hierarchical Bayesian models that treat trait presence as a function of ancestry proportion, time and space; use Bayes factors and posterior probabilities for hypothesis tests. (Bayesian modeling: statistical method that updates beliefs using prior knowledge and observed data.) 9) Reproducibility: containerize pipelines (Docker/Singularity), version-control code and data, and deposit raw outputs in appropriate repositories. 10) Calibration: run inter-lab round-robins and experimental replicas to build reference peptide and GC–MS libraries.</w:t>
      </w:r>
    </w:p>
    <w:p>
      <w:r>
        <w:t xml:space="preserve"> </w:t>
      </w:r>
    </w:p>
    <w:p>
      <w:pPr>
        <w:pStyle w:val="Heading2"/>
      </w:pPr>
      <w:r>
        <w:t>Experiments</w:t>
      </w:r>
    </w:p>
    <w:p>
      <w:r>
        <w:t>Datasets: Pilot iconographic corpus from prioritized sites (Sintashta–Andronovo, Tamgaly, Hittite seals, BMAC, selected Scythian kurgans) with 200 coded images; pilot material set: 25 adhesive/organic residues from 6 sites; pilot genomes: ~60 well-dated human individuals across the same regions/time-slices. Scale experiments: expand material samples to ~150 and genomes as informed by pilot power analysis. Baselines: (A) iconography-only inference, (B) material/proteomics-only inference, (C) genetics-only inference, and (D) combined Bayesian fusion pipeline. Evaluation metrics: detection rate of composite-bow evidence (proportion), sensitivity, specificity, positive predictive value (PPV), negative predictive value (NPV) for material assays (using experimental replicas as ground truth), Cohen's kappa for inter-coder reliability, Bayes factors comparing demic-transmission vs independent-invention models, posterior probability of ancestry → trait effect, WAIC and LOO (model fit diagnostics). Experimental setup: 1) Lab assays: proteomics processed with MaxQuant/MSFragger; GC–MS processed with XCMS; aDNA processed with nf-core/eager and ANGSD. 2) Chronology: AMS dated samples integrated in OxCal; paired-date models for adhesives and associated wood. 3) Modeling: hierarchical Bayesian GLM (trait presence ~ ancestry proportion + time + region + sampling effort) implemented in Stan or brms; ancestral-state and phylogeographic reconstructions in BEAST2/RevBayes. 4) Ablation study: run fused model then remove each evidence stream (iconography, proteomics, genetics) in turn and record change in Bayes factor and posterior effect size. 5) Statistical thresholds: consider Bayes Factor &gt;10 as strong support; require concordant support from at least two independent evidence streams for a 'strong inference' decision. Reproducibility: pipelines containerized and run on mock datasets before real data. All parameter settings, priors and diagnostics (R-hat, ESS, posterior predictive checks) must be reported.</w:t>
      </w:r>
    </w:p>
    <w:p>
      <w:r>
        <w:t xml:space="preserve"> </w:t>
      </w:r>
    </w:p>
    <w:p>
      <w:pPr>
        <w:pStyle w:val="Heading2"/>
      </w:pPr>
      <w:r>
        <w:t>Risk Factors And Limitations</w:t>
      </w:r>
    </w:p>
    <w:p>
      <w:r>
        <w:t>1) Preservation limits: organic adhesives, horn and sinew often degrade; low biomolecular yield causes false negatives. 2) Contamination: modern conservation materials or handling can produce false positives; inter-lab variability may persist. 3) aDNA limits: low endogenous DNA or poor coverage reduces power to detect ancestry shifts. 4) Sampling and permit constraints: limited access or small allowable sample masses may reduce sample sizes below power thresholds. 5) Iconographic bias: artistic conventions, medium choice and preservation create non-random representation; corpus may be geographically or temporally biased. 6) Temporal resolution: radiocarbon uncertainty and reuse/old-wood effects complicate chronological assignment of technology. 7) Model misspecification: incorrect priors or omitted covariates (trade networks, social adoption) can bias causal inference. 8) Computational cost: Bayesian phylogenetic and hierarchical models with many taxa and parameters can be time-consuming and require HPC resources. 9) Generalization limits: results may be region-specific and not generalize across all of Eurasia. 10) Ethical constraints: genomics data sharing restrictions and stakeholder requirements may limit public release and reuse.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