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english_development_governmentality</w:t>
      </w:r>
    </w:p>
    <w:p>
      <w:r>
        <w:t xml:space="preserve"> </w:t>
      </w:r>
    </w:p>
    <w:p>
      <w:pPr>
        <w:pStyle w:val="Heading2"/>
      </w:pPr>
      <w:r>
        <w:t>Title</w:t>
      </w:r>
    </w:p>
    <w:p>
      <w:r>
        <w:t>A qualitative abductive case study of governmental rationalities and misrecognition in English-in-education policy among low-SES students and parents in a Bangladeshi school</w:t>
      </w:r>
    </w:p>
    <w:p>
      <w:r>
        <w:t xml:space="preserve"> </w:t>
      </w:r>
    </w:p>
    <w:p>
      <w:pPr>
        <w:pStyle w:val="Heading2"/>
      </w:pPr>
      <w:r>
        <w:t>Short Hypothesis</w:t>
      </w:r>
    </w:p>
    <w:p>
      <w:r>
        <w:t>Exposure to development-framed English-in-education messaging increases the tendency of parents and students in a low-SES Bangladeshi school to endorse individualizing explanations for educational outcomes and to downplay structural constraints, compared to exposure to neutral educational messaging.</w:t>
      </w:r>
    </w:p>
    <w:p>
      <w:r>
        <w:t xml:space="preserve"> </w:t>
      </w:r>
    </w:p>
    <w:p>
      <w:pPr>
        <w:pStyle w:val="Heading2"/>
      </w:pPr>
      <w:r>
        <w:t>Related Work</w:t>
      </w:r>
    </w:p>
    <w:p>
      <w:r>
        <w:t>Existing work analyzes English-in-education policy using social theory (Bourdieu on linguistic capital, Foucault on governmentality, Ahmed on affect) and shows policies often privilege English over local languages and frame language learning as individual human capital. Approaches fall into two groups: macro policy analysis (documents, national plans) and qualitative ethnographies of classrooms. Limitations: macro studies miss micro-level experiences and affective dynamics; many ethnographies lack explicit abductive analytic pipelines linking emic data to theory; translation and code-switching practices are often under-specified, reducing analytic transparency; few studies implement controlled contrasts or experimental probes to test causal effects of policy framing; safeguarding, reflexivity and anonymisation protocols are inconsistently reported, limiting reproducibility and ethical transparency.</w:t>
      </w:r>
    </w:p>
    <w:p>
      <w:r>
        <w:t xml:space="preserve"> </w:t>
      </w:r>
    </w:p>
    <w:p>
      <w:pPr>
        <w:pStyle w:val="Heading2"/>
      </w:pPr>
      <w:r>
        <w:t>Abstract</w:t>
      </w:r>
    </w:p>
    <w:p>
      <w:r>
        <w:t>This study examines how English-in-education policy framed as promoting individual and social development is experienced by students and parents in a low-socioeconomic-status school in Bangladesh. Using a single-site abductive qualitative design, the research combines semi-structured interviews, focus groups, classroom observations, and an experimental vignette probe that randomly exposes participants to development-framed versus neutral messages about English learning. Data are transcribed and annotated with a tagging taxonomy for Bangla, English tokens and code-switching; back-translation and translator memos are applied to critical excerpts. Analysis follows a two-layer coding: emic descriptive codes produce mid-level themes, which are then mapped to Bourdieusian, Foucauldian and Ahmedian constructs with an explicit traceability table. The main contribution is a transparent, testable account of how development framing shapes individualizing discourses and affective responses, with clear documentation of reflexivity, translation fidelity, and anonymisation. Expected outcome: empirical evidence on the causal role of policy framing in producing misrecognition and individualising practices in low-SES contexts.</w:t>
      </w:r>
    </w:p>
    <w:p>
      <w:r>
        <w:t xml:space="preserve"> </w:t>
      </w:r>
    </w:p>
    <w:p>
      <w:pPr>
        <w:pStyle w:val="Heading2"/>
      </w:pPr>
      <w:r>
        <w:t>Methodology</w:t>
      </w:r>
    </w:p>
    <w:p>
      <w:r>
        <w:t>1) Site and sampling: purposive single-site case study in one low-SES Bangladeshi school. Target sample: principal (1), English teachers (6-8), parents (10-12), students (12-16). Run 2-3 FGDs (students and parents) and 4-6 classroom observations. 2) Experimental probe: prepare two short vignettes (development-framed message vs neutral educational message). Randomly assign consenting parents and students to one vignette before interview. 3) Instruments: semi-structured interview guides and FGD guides with emic probes on aspirations, everyday language use, tuition, and constraints. 4) Data collection: audio-record interviews/FGDs with consent; take field notes; conduct observations using structured observation sheet. 5) Transcription &amp; translation: transcribe in original language, tag tokens as [BN] Bangla, [EN] English, [CS] code-switching; preserve in-vivo Bangla with Roman transliteration. Back-translate 15% random transcripts and 35-40% of affective/theory-critical excerpts. Attach translator memos for interpretive choices. 6) Coding and analysis: build a two-layer codebook (emic descriptive codes + theoretical mapping). Use abductive pathway: (a) generate in-vivo codes, (b) group into mid-level themes with memos, (c) map themes to Bourdieu/Foucault/Ahmed with a traceability table linking quote → code → memo → theory. 7) Reliability and reflexivity: double-code 15-20% of transcripts; compute inter-rater metrics (Cohen's Kappa, Krippendorff's alpha). Maintain weekly reflexive logs and a reflexivity code to document positionality effects. 8) Member-checking: share preliminary themes with 6-8 participants and record feedback in memos. 9) Documentation: timestamped audit trail of codebook versions, memos, translator notes and decisions.</w:t>
      </w:r>
    </w:p>
    <w:p>
      <w:r>
        <w:t xml:space="preserve"> </w:t>
      </w:r>
    </w:p>
    <w:p>
      <w:pPr>
        <w:pStyle w:val="Heading2"/>
      </w:pPr>
      <w:r>
        <w:t>Experiments</w:t>
      </w:r>
    </w:p>
    <w:p>
      <w:r>
        <w:t>1) Datasets: primary dataset = transcribed interviews, FGDs, and observations from the target school (estimated 30-40 interview transcripts, 2-3 FGDs, 4-6 observation logs). Experimental subset = interviews with parents and students randomly assigned to vignette arms (treatment: development-framed message; control: neutral message). 2) Baselines: baseline pre-vignette interview responses (within-subject) and control vignette group. Optional comparator: if triggered, repeat protocol in one contrasting school (well-resourced private) with matched quotas. 3) Outcome measures: a) proportion of coded excerpts per participant that express individualizing explanations (binary code per excerpt); b) proportion referencing structural constraints; c) affect coding counts for hope/shame; d) composite 'misrecognition score' = (individualizing_count - structural_count) normalized by total excerpts. 4) Evaluation metrics: inter-rater reliability (Cohen's Kappa, Krippendorff's alpha); statistical tests: chi-square test for categorical code frequency differences between arms; t-test or Wilcoxon test for continuous misrecognition scores; effect size (Cohen's d). 5) Experimental setup: randomize consenting parent/student participants into treatment or control; conduct interview with vignette exposure immediately before main questions; transcribe and code blind to arm assignment when possible. 6) Ablation and comparisons: a) Ablation 1: compare coding reliability and thematic outcomes with vs without back-translation (measure change in coding frequencies and kappa); b) Ablation 2: compare results with and without translator memo integration into coding (measure shifts in theoretical mapping); c) Comparison: if comparator school available, compare effect sizes across schools to assess contextual moderation. 7) Significance thresholds: alpha = 0.05 for tests; report 95% confidence intervals and exact p-values. 8) Reproducibility: provide codebook, anonymised excerpt counts, randomization seed, and analytic scripts for verification.</w:t>
      </w:r>
    </w:p>
    <w:p>
      <w:r>
        <w:t xml:space="preserve"> </w:t>
      </w:r>
    </w:p>
    <w:p>
      <w:pPr>
        <w:pStyle w:val="Heading2"/>
      </w:pPr>
      <w:r>
        <w:t>Risk Factors And Limitations</w:t>
      </w:r>
    </w:p>
    <w:p>
      <w:r>
        <w:t>1) Small sample and single-site design limit generalisability to other regions or school types. 2) Social desirability bias: participants may give responses they think researchers or gatekeepers want. 3) Ethical risk: vignette exposure could raise hopes or distress by emphasizing mobility; careful safeguarding required. 4) Translation errors: subtle meaning loss in Bangla-English translation may bias coding. 5) Coding subjectivity: theoretical mapping depends on analysts; IRR targets may not fully remove interpretive variance. 6) Re-identification risk: small community quotes may make anonymisation difficult; some quotes may need paraphrasing or withholding. 7) Comparator trigger uncertainty: adding a comparator late may strain time/resources and complicate analysis. 8) Data attrition: participant withdrawal or missing transcripts reduces power for experimental contrasts. 9) Legal/data residency constraints: cross-border data transfer or storage may be restricted. 10) Limited quantification power: statistical comparisons on coded qualitative counts may have low power given sample sizes.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