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awa_creativity_eval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Testing attribution-worthy agency in AI-generated artifacts using counterfactual provenance analysis and human evaluation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If targeted removal or targeted model edits of specific training exemplars or model components produce a statistically significant reduction in measured novelty and in blinded human perceived creativity for generated artifacts, then the system has attribution-worthy agency for those artifacts.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divides into three streams: (1) conceptual and philosophical analyses of AI authorship and creativity that propose criteria for crediting agents but rarely give operational tests; (2) technical provenance and attribution methods such as k-nearest-neighbor retrieval in embedding space, influence functions/representer points, and targeted model-editing techniques (for example ROME) that aim to link outputs to training data or parameters; and (3) human-subject studies that measure perceived creativity, value, or authorship with disclosure experiments. Limitations across these streams include: provenance signals often correlate but lack causal validation; many attribution methods miss distributed or diffuse model contributions; human studies vary in protocols and are sensitive to framing; composite decision rules and thresholds are typically arbitrary or under-validated; and full retraining or randomized-data causal tests are often infeasible at scale. These gaps leave open whether convergence of current provenance signals plus human judgment constitutes epistemic warrant for crediting AI with creativity.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project empirically evaluates whether AI systems warrant attribution as creative agents by combining causal provenance tests and blinded human evaluation. We operationalize Attribution‑Worthiness as a measurable property that requires causal relevance (interventions change outputs), traceability (multiple provenance signals converge), and robustness (effects persist under reasonable perturbations). Our approach uses three measurable proxies: counterfactual sensitivity via targeted data-removal or model edits, goal-conditioned manipulability via latent or prompt controls, and aggregated provenance alignment combining k-NN retrieval, calibrated influence scores, and targeted editing evidence. We validate these proxies on synthetic planted-exemplar benchmarks and on pilot case studies (GAN portraits and LLM poetry). Human raters provide blinded value and creativity judgments and participate in meta-sensemaking tasks to capture interpretive change. The main contribution is a preregistered, reproducible protocol that produces numeric Attribution and Composite Creativity scores and reports sensitivity surfaces for thresholds. Expected outcome: clear, testable evidence determining when and how common provenance methods plus causal probes justify crediting AI contributions as attribution-worthy.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Definitions and measures: Novelty = embedding-distance percentile combined with overlap-check (high novelty = embedding percentile ≥0.90 and overlap ≤0.20). Value = blinded human rating (1–7 Likert). Attribution (AWA) = CausalScore from counterfactual interventions (standardized effect size, Hedges' g). Aggregated Provenance Alignment = ensemble agreement of k-NN, influence scores, and targeted edit traces. 2) Data and models: prepare domain corpora (portraits, curated art, poetry). Train or fine-tune manageable models: a GAN for images and a 1–7B parameter LLM for text. 3) Counterfactual sensitivity (CFS): insert known exemplar(s) into training data (or tag existing exemplars), generate outputs, then remove exemplar(s) or apply targeted model edits and measure change in novelty and human ratings. Explanation: counterfactual sensitivity tests causality by intervening and observing output change. 4) Goal-conditioned manipulability (GCM): identify controllable latent directions or prompt templates; sweep control intensity and measure dose-response of target features (regress feature magnitude on control). 5) Aggregated provenance alignment (APA): compute k-NN overlap in embeddings (nearest training items), calibrated influence scores (approximate contribution of training points), and trace evidence from targeted edits; combine signals into a provenance agreement score. 6) Synthetic benchmarks: plant exemplars at graded similarity levels (exact copy → near-duplicate → style paraphrase) to validate methods. 7) Human evaluation and meta-sensemaking: blinded rating tasks for novelty, value, and creativity; free-text explanations coded with a pre-registered codebook to compute ShiftRate (proportion of interpretive-category changes) and semantic-distance with sentence embeddings. 8) Composite scoring and sensitivity: compute Composite = 0.30*Novelty + 0.35*Value + 0.25*Attribution + 0.10*Meta and produce decision surfaces by sweeping weights and thresholds to report robustness.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Portrait corpus: ~10,000 labeled portrait images, deduplicated. (B) AARON/Historical generative-art subset with cleared licenses. (C) Curated non-Western visual corpus (rights-cleared). (D) Poetry/style corpus: ~50k–200k tokens representative of a target poetic style. Baselines: (1) Human-made artifacts (expert examples). (2) Untargeted model outputs (GAN/LLM trained on full corpora). (3) Provenance single-signal baselines: k-NN only, influence-only, ROME-only. Models &amp; compute: baseline GAN (train on 4 A100-equivalent GPUs for 3–7 GPU-days) and LLM fine-tune on 1 A100 for 2–5 GPU-days as resource estimate. Interventions: (I) Data-removal: remove planted exemplars and re-generate outputs or approximate with targeted fine-tune rollback where full retrain is infeasible. (II) Model-edit: apply targeted edits (ROME) to specific weights or neurons. (III) Goal-sweeps: vary latent/prompt controls across graded intensities. Evaluation metrics: Novelty = embedding-distance percentile (CLIP/SBERT) and max n-gram/pixel overlap. Value and Perceived Creativity = mean blinded Likert (1–7). Attribution = CausalScore (Hedges' g) pre/post intervention. Provenance accuracy = ROC AUC for APA against planted ground truth. Human study design: Between-subject Blind/AI-disclosed/Human-disclosed arms with 150 naive raters per arm and 12 experts; within-subject provenance-display N=120. Statistical tests: linear mixed-effects models (random intercepts for item and rater), bootstrap CIs for causal effects, Benjamini-Hochberg for multiple comparisons. Ablation studies: (A) Remove one provenance method from APA (e.g., exclude k-NN) and measure change in ROC AUC. (B) Compare full retraining removal vs proxy fine-tune removal on CausalScore. (C) Grid sensitivity: sweep composite weights and thresholds and report decision-surface maps and Pareto fronts. Reporting: effect sizes, ROC curves, FPR/FNR, calibration curves, and Bayesian posterior summaries.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Technical failure modes: embedding mismatch causing false negatives for novelty; distributed or diffuse knowledge in models causing attribution methods (influence, ROME) to miss contributions; coincidental stylistic similarity causing false positives. 2) Causal inference limits: full retraining for data-removal is often infeasible; proxy edits or fine-tune approximations may not perfectly replicate counterfactuals. 3) Statistical and power limits: human rating variability, framing effects, and low inter-rater reliability can reduce power and inflate uncertainty. 4) Compute and scalability: targeted edits and influence calculations can be expensive for large models; experiments may be limited to smaller model scales and not generalize to large production systems. 5) Data and cultural bias: corpora may be Western-centric and not reflect global aesthetics; meta-sensemaking measures may miss culturally specific interpretive modes. 6) Legal and privacy constraints: dataset licensing, copyright, and provenance sharing limits can restrict available ground truth and public reporting. 7) Generalization limits: results may not transfer across model architectures, modalities, or adversarially obfuscated training data. 8) Measurement arbitrariness: composite weights and threshold choices are partly subjective and require extensive sensitivity reporting to avoid overclaiming.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