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social_cohesion_africa_measurement</w:t>
      </w:r>
    </w:p>
    <w:p>
      <w:r>
        <w:t xml:space="preserve"> </w:t>
      </w:r>
    </w:p>
    <w:p>
      <w:pPr>
        <w:pStyle w:val="Heading2"/>
      </w:pPr>
      <w:r>
        <w:t>Title</w:t>
      </w:r>
    </w:p>
    <w:p>
      <w:r>
        <w:t>A Bayesian multilevel measurement and validation framework to operationalize social cohesion (inclusive identity, trust, cooperation) using Afrobarometer and V‑Dem data in African contexts</w:t>
      </w:r>
    </w:p>
    <w:p>
      <w:r>
        <w:t xml:space="preserve"> </w:t>
      </w:r>
    </w:p>
    <w:p>
      <w:pPr>
        <w:pStyle w:val="Heading2"/>
      </w:pPr>
      <w:r>
        <w:t>Short Hypothesis</w:t>
      </w:r>
    </w:p>
    <w:p>
      <w:r>
        <w:t>Higher country-level vertical cohesion (better rule of law, lower corruption, and stronger state capacity) increases individual-level cooperation as measured by incentivized public goods contributions and cooperation survey scores, controlling for inclusive identity and horizontal trust.</w:t>
      </w:r>
    </w:p>
    <w:p>
      <w:r>
        <w:t xml:space="preserve"> </w:t>
      </w:r>
    </w:p>
    <w:p>
      <w:pPr>
        <w:pStyle w:val="Heading2"/>
      </w:pPr>
      <w:r>
        <w:t>Related Work</w:t>
      </w:r>
    </w:p>
    <w:p>
      <w:r>
        <w:t>Existing approaches measure social cohesion by aggregating survey items (trust, identity, cooperation) or by using single-source expert indices; they typically treat cohesion as a unidimensional index or rely on simple averages. Limitations include cross-country non-invariance of items (responses mean different things across groups), lack of behavioural validation, failure to model expert coder uncertainty in institutional measures, and weak handling of sensitive items. Prior small-area estimates often ignore survey design and produce unstable subnational results. Other methods use either household surveys or expert datasets but rarely integrate both coherently. In sum, current methods suffer from measurement non-comparability, limited triangulation with observed behaviour, and insufficient propagation of uncertainty from expert measures into household-level inference.</w:t>
      </w:r>
    </w:p>
    <w:p>
      <w:r>
        <w:t xml:space="preserve"> </w:t>
      </w:r>
    </w:p>
    <w:p>
      <w:pPr>
        <w:pStyle w:val="Heading2"/>
      </w:pPr>
      <w:r>
        <w:t>Abstract</w:t>
      </w:r>
    </w:p>
    <w:p>
      <w:r>
        <w:t>We propose a practical measurement and validation framework to operationalize social cohesion in Africa as three observable attributes—inclusive identity, trust, and cooperation—each on horizontal and vertical dimensions. The approach combines a 24-item household battery (Afrobarometer-style), brief anchor vignettes, sensitive-item list experiments, and behavioural validation (public goods and trust games) with a Bayesian hierarchical measurement model of V‑Dem expert indicators that incorporates coder uncertainty. Posterior draws of country-level vertical cohesion are propagated into multilevel psychometric models of individual responses. We evaluate reflective vs formative specifications via comparative factor models (EFA, ML‑CFA, bifactor) and graded-response IRT, test invariance with alignment and Bayesian approximate priors, and produce small-area estimates using MRP and Fay–Herriot shrinkage. The main contribution is an actionable, reproducible pipeline that links household attitudes, observed cooperative behaviour, and institutional quality while quantifying uncertainty for cross-country and subnational comparison. Expected outcomes include validated instruments, reproducible code, and calibrated cohesion indices suitable for policy and research use.</w:t>
      </w:r>
    </w:p>
    <w:p>
      <w:r>
        <w:t xml:space="preserve"> </w:t>
      </w:r>
    </w:p>
    <w:p>
      <w:pPr>
        <w:pStyle w:val="Heading2"/>
      </w:pPr>
      <w:r>
        <w:t>Methodology</w:t>
      </w:r>
    </w:p>
    <w:p>
      <w:r>
        <w:t>1) Instrument design: use the 24 core items (4 per subdimension) with 5-point Likert scales for attitudes and 5-point frequency scales for behaviours; flag reverse-coded items. Add three vignettes per subdimension (low/medium/high) and two double-list experiments for sensitive cooperation. 2) Behavioural validation: implement a single-round public goods game (PGG) and a one-shot trust game with modest stakes (USD 1–3 equivalent) and immediate mobile-money or token payouts. 3) Psychometric pipeline: run pooled polychoric EFA to explore structure; estimate multilevel confirmatory factor analysis (ML‑CFA) for six first-order reflective factors (Inclusive Identity H/V, Trust H/V, Cooperation H/V). Test bifactor and higher-order alternatives. Fit graded-response IRT (items ordinal; IRT models estimate item discrimination and threshold parameters). Explain: graded-response IRT models ordinal responses and gives item-level precision. 4) Invariance and anchoring: test configural→metric→scalar invariance using ΔCFI and RMSEA thresholds; if scalar fails, run alignment optimization and then Bayesian approximate invariance (tight priors on loadings/thresholds). Use vignette ratings to rescale responses and detect response-style differences (anchoring). 5) V‑Dem integration: build a Bayesian hierarchical measurement model where each V‑Dem indicator is a noisy measure of a country latent vertical-cohesion factor; include reported coder SEs in the likelihood so uncertainty is explicit. 6) Joint modeling: propagate posterior draws of country latent scores into the household ML‑CFA/IRT as country-level predictors or estimate a joint model that simultaneously fits V‑Dem and household items. 7) Small-area estimation: apply multilevel regression with poststratification (MRP) and Fay–Herriot empirical Bayes shrinkage for ADM1 estimates. 8) Missing data and list-experiment handling: use multiple imputation that conditions on strata/clusters/weights (weighted-MICE) or joint Bayesian imputation; treat list-experiment responses as noisy indicators and impute individual latent propensities via multiple imputation in the IRT/CFA pipeline. 9) Software: implement analyses in R using mirt, lavaan/brms/Stan, survey, and custom Stan code for the V‑Dem model. 10) Outputs: priors file, Stan/brms scaffold, and reproducible pipelines.</w:t>
      </w:r>
    </w:p>
    <w:p>
      <w:r>
        <w:t xml:space="preserve"> </w:t>
      </w:r>
    </w:p>
    <w:p>
      <w:pPr>
        <w:pStyle w:val="Heading2"/>
      </w:pPr>
      <w:r>
        <w:t>Experiments</w:t>
      </w:r>
    </w:p>
    <w:p>
      <w:r>
        <w:t>Datasets: Afrobarometer household waves covering pilot countries (pilot target n=800–1,000 per country) and V‑Dem country-year series through 2024. Baselines: (A) simple aggregate index of mean trust/identity/cooperation; (B) six-factor ML‑CFA ignoring V‑Dem uncertainty; (C) models with V‑Dem point estimates (no coder SE). Evaluation metrics: factor model fit (CFI, TLI, RMSEA, SRMR), IRT fit and item information, measurement invariance ΔCFI and % non-invariant parameters, parameter recovery bias and RMSE in simulations, predictive validity R2 for cooperation behaviours, mean PGG contribution difference (behavioral validation), list-experiment detection power and bias, small-area RMSE and coefficient of variation (CV). Experimental setup: 1) Pilot field experiment in 3 diverse sites per country; randomize half-sample to behavioural modules and to list-experiment treatment arm. 2) Fit comparative measurement models: pooled EFA, six-factor ML‑CFA, bifactor, higher-order, formative SEM. Compare fit metrics and predictive R2 for behavioural outcomes. 3) V‑Dem integration ablation: (i) full model with Bayesian V‑Dem measurement (coder SEs included), (ii) same model with V‑Dem point estimates, (iii) model without V‑Dem. Compare country latent estimates' posterior SDs and effect sizes on individual cooperation. 4) Vignette ablation: run models with and without vignette anchoring rescaling to evaluate change in invariance diagnostics and cross-country comparability. 5) Simulation study: generate synthetic data varying item discrimination (low 0.3–0.7, medium 0.8–1.2, high 1.3–2.0), threshold spreads (tight to wide), number of items per trait (3,4,6), cluster sizes (PSU n per country: 50, 100), DEFF scenarios (1.0,1.5,2.0), ICCs (0.01,0.05,0.10), and nonresponse patterns (MCAR, MAR). Metrics: parameter bias, RMSE, 95% CI coverage, power to detect ΔRMSEA=0.02 at power=0.8, and minimum detectable effect (MDE) for list-experiment (target power=0.8). 6) Small-area validation: mask survey data to create holdout ADM1 cells and compare MRP+Fay–Herriot estimates to holdouts using RMSE and CV. 7) Reproducibility: release code, priors, and Stan models; report Rhat, effective sample size (ESS), and posterior predictive checks (PPC).</w:t>
      </w:r>
    </w:p>
    <w:p>
      <w:r>
        <w:t xml:space="preserve"> </w:t>
      </w:r>
    </w:p>
    <w:p>
      <w:pPr>
        <w:pStyle w:val="Heading2"/>
      </w:pPr>
      <w:r>
        <w:t>Risk Factors And Limitations</w:t>
      </w:r>
    </w:p>
    <w:p>
      <w:r>
        <w:t>1) Measurement non-invariance: items may not behave comparably across countries or groups, reducing cross-country comparability. 2) Vignette failure: vignettes may not preserve intended ordering across languages, limiting anchoring effectiveness. 3) V‑Dem interpolation risk: linear interpolation can misrepresent countries with nonlinear institutional change or breakpoints. 4) Sample-size constraints: smaller-than-planned samples reduce IRT parameter recovery and invariance test power. 5) Behavioural module feasibility: mobile-money payout restrictions or field logistics may prevent real payouts, biasing behavioural validation. 6) Ethics and REC delays: multi-country approvals may delay pilots. 7) Disclosure risk: fine-grained subnational outputs risk re-identification and may require suppression or synthetic data. 8) Computational cost: Bayesian hierarchical joint models and posterior propagation are compute-intensive and slow to converge for large draws. 9) Generalization limits: instruments validated in pilot countries may not generalize across Africa's cultural and institutional diversity. 10) Missing data &amp; MNAR: if missingness is not at random, imputation and joint models may produce biased estimates.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