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resisting_affective_signals</w:t>
      </w:r>
    </w:p>
    <w:p>
      <w:r>
        <w:t xml:space="preserve"> </w:t>
      </w:r>
    </w:p>
    <w:p>
      <w:pPr>
        <w:pStyle w:val="Heading2"/>
      </w:pPr>
      <w:r>
        <w:t>Title</w:t>
      </w:r>
    </w:p>
    <w:p>
      <w:r>
        <w:t>Decoding and perturbing affective drive to test whether resisting affective signals explains subjective effort using multimodal MVPA, psychophysiology, and causal interventions</w:t>
      </w:r>
    </w:p>
    <w:p>
      <w:r>
        <w:t xml:space="preserve"> </w:t>
      </w:r>
    </w:p>
    <w:p>
      <w:pPr>
        <w:pStyle w:val="Heading2"/>
      </w:pPr>
      <w:r>
        <w:t>Short Hypothesis</w:t>
      </w:r>
    </w:p>
    <w:p>
      <w:r>
        <w:t>Trialwise subjective effort is caused by momentary affective drive d_t (measured by insula/amygdala MVPA and SCR) such that increasing d_t raises subjective effort independent of opportunity cost, and causal reduction of d_t via neuromodulation reduces subjective effort.</w:t>
      </w:r>
    </w:p>
    <w:p>
      <w:r>
        <w:t xml:space="preserve"> </w:t>
      </w:r>
    </w:p>
    <w:p>
      <w:pPr>
        <w:pStyle w:val="Heading2"/>
      </w:pPr>
      <w:r>
        <w:t>Related Work</w:t>
      </w:r>
    </w:p>
    <w:p>
      <w:r>
        <w:t>Existing approaches explain effort either as a cost/opportunity‑cost signal that trades off reward and time, or as an experience tied to control demand and aversive signals. Cost/opportunity‑cost models predict effort from expected value and resource state and often explain choices and persistence well, but they do not directly model momentary affective signals or their neural signatures. Affective and interoceptive studies link insula/amygdala activity and autonomic markers (SCR, pupil, HR) to urges, pain, and fatigue, and MVPA has been used to decode affective states. Prior neuromodulation and pharmacology work manipulate dopaminergic value signals and cortical control nodes, but interpretation of superficial stimulation as affecting deep insula is uncertain. Limitations across prior work include weak dissociation of momentary affective drive from opportunity cost, limited cross‑task MVPA generalization, sparse causal falsification tests that jointly use decoding, physiology, and perturbation, and insufficient pre‑registered model recovery and intervention checks.</w:t>
      </w:r>
    </w:p>
    <w:p>
      <w:r>
        <w:t xml:space="preserve"> </w:t>
      </w:r>
    </w:p>
    <w:p>
      <w:pPr>
        <w:pStyle w:val="Heading2"/>
      </w:pPr>
      <w:r>
        <w:t>Abstract</w:t>
      </w:r>
    </w:p>
    <w:p>
      <w:r>
        <w:t>We address when people feel effort by testing whether the felt effort arises from resisting momentary affective, behaviour‑guiding signals (hunger, pain, temptation) rather than from opportunity costs. We combine three lab paradigms (temptation‑suppression, affective‑distractor cognitive control, graded physical/pain), multimodal measurement (fMRI MVPA targeting insula/amygdala, skin conductance, pupil, EMG, ECG), and causal interventions (neuronavigated TMS to superficial insula proxies with HD‑tDCS contingency, and double‑blind methylphenidate/placebo crossover) to produce convergent evidence. The main contribution is a preregistered, testable comparison between a resistance generative model—where decoded affective drive d_t and inferred control c_t predict subjective effort—and traditional cost/opportunity‑cost models. We will use hierarchical Bayesian inverse‑control methods, MVPA cross‑domain validation, and prespecified manipulation checks to assess identifiability. Expected outcomes are (1) trialwise subjective effort is better predicted by decoded d_t and insula→dACC coupling than by opportunity cost, and (2) targeted reduction of d_t alters subjective effort independently of value signals. Results will clarify the neural and physiological origins of effort phenomenology.</w:t>
      </w:r>
    </w:p>
    <w:p>
      <w:r>
        <w:t xml:space="preserve"> </w:t>
      </w:r>
    </w:p>
    <w:p>
      <w:pPr>
        <w:pStyle w:val="Heading2"/>
      </w:pPr>
      <w:r>
        <w:t>Methodology</w:t>
      </w:r>
    </w:p>
    <w:p>
      <w:r>
        <w:t>1. Paradigms: implement three within‑subject tasks: (a) Temptation‑suppression: fasted vs sated go/no‑go with visible snack exposures and immediate post‑trial ratings for urge (d_t), resistance (c_t), and effort. (b) Affective‑distractor control: N‑back or Stroop with high/low valence distractors and fatigue blocks, with intermittent ratings. (c) Graded physical/pain: sustained handgrip with calibrated low/high thermal stimulation, continuous force and EMG, and trialwise pain/effort ratings. 2. Data acquisition: fMRI multiband EPI (TR ≤ 800 ms, voxel 1.6–2.0 mm), field maps, physiological recording (ECG 1000 Hz, GSR 200–500 Hz, pupillometry 250–500 Hz, EMG 1000 Hz) synchronized with Lab Streaming Layer. 3. Preprocessing: standard fMRI pipeline (motion, RETROICOR, ICA‑AROMA, CompCor); physio preprocessing (ECG R‑peak → HR/HRV, SCR phasic/tonic decomposition, pupil blink correction and deconvolution, EMG rectification and RMS). 4. MVPA: train insula/amygdala decoders for affective drive d_t using run‑wise and leave‑one‑task/domain‑out cross‑validation; compute AUC, balanced accuracy, sensitivity/specificity, calibration, and test–retest reliability. MVPA outputs provide single‑trial d_t estimates. (MVPA = multivoxel pattern analysis; it means training a classifier or regression on spatial brain patterns.) 5. Modeling: specify hierarchical Bayesian models of two families: Resistance model (d_t → inferred control c_t; residual r_t = d_t − α c_t; subjective effort E_t = β_c |c_t|·d_t + β_r |r_t| + ε) and Cost model (E_t = θ OpportunityCost_t + η ResourceState_t + ε). Fit with Hamiltonian Monte Carlo, report R̂, ESS, PSIS diagnostics, and posterior predictive checks. 6. Inverse control: infer c_t from observed behavior using softmax/RL/LQR families; standardize inputs and use weakly informative priors. 7. Interventions: apply neuronavigated TMS to IFOp/dorsal anterior insula proxy with cTBS or 1 Hz offline and HD‑tDCS 4×1 as contingency; run double‑blind methylphenidate/placebo crossover to perturb dopaminergic opportunity‑cost signals. 8. Manipulation checks: preregister thresholds for successful perturbation (e.g., MVPA d_t reduction ≥0.30 SD or ΔAUC ≥0.05 and physiological/behavioral change such as ≥20% SCR reduction or subjective effort d≥0.35). 9. Decision rules: compare models using PSIS‑LOO ΔELPD and Bayes factors; require ΔLOO &gt; 2×SE and BF &gt;10 to prefer resistance model. 10. Pilots: run calibration pilots (N=15–20) to set task difficulty and estimate priors for power sims.</w:t>
      </w:r>
    </w:p>
    <w:p>
      <w:r>
        <w:t xml:space="preserve"> </w:t>
      </w:r>
    </w:p>
    <w:p>
      <w:pPr>
        <w:pStyle w:val="Heading2"/>
      </w:pPr>
      <w:r>
        <w:t>Experiments</w:t>
      </w:r>
    </w:p>
    <w:p>
      <w:r>
        <w:t>1. Data collection: (a) Calibration pilots: N=15–20 per paradigm to set difficulty and estimate SNR. (b) Full fMRI study: within‑subject N=60 participants performing all three paradigms in counterbalanced order. (c) Pharmacology crossover: within‑subject N=45, methylphenidate vs placebo, randomized crossover with washout. (d) TMS study: within‑subject N=35 per condition (active vs sham), neuronavigated targeting of IFOp/dAI. All studies collect synchronized fMRI (where applicable), single‑trial ratings, and physiology. 2. Baselines: (i) Opportunity‑cost model family (trialwise expected value of alternatives and resource state) fitted hierarchically; (ii) Control models lacking decoded d_t (same regressors but without MVPA d_t); (iii) Sham or placebo conditions for interventions. 3. Evaluation metrics: primary — out‑of‑sample trialwise prediction improvement measured by PSIS‑LOO ΔELPD (resistance minus cost) and Bayes factor; MVPA metrics — AUC, balanced accuracy, sensitivity, specificity, calibration slope, and single‑trial R2 predicting subjective effort; mediation metrics — proportion mediated (insula → physiology → effort) with 95% credible intervals. 4. Analysis pipelines: preprocess fMRI/physio per methods, compute single‑trial d_t and physiological markers, fit hierarchical models with subject and trial random effects, run PSIS‑LOO and compute Bayes factors, report posterior estimates. 5. Comparison/ablation studies: (A) Ablation 1 — remove decoded d_t predictor from resistance model and compare ΔELPD; (B) Ablation 2 — remove physiological markers (SCR/pupil) and test model fit; (C) Intervention comparison — active TMS vs sham and methylphenidate vs placebo to test direction of change in decoded d_t, physiology, and subjective effort. 6. Statistical power: use pilot priors to simulate power for detecting MVPA AUC Δ≥0.05 and d_t reduction ≥0.30 SD with 80% power given the trial counts per subject (target ≥200 usable trials per subject across tasks aggregated) and group Ns above. 7. Reporting: report full model posteriors, posterior predictive checks, manipulation‑check outcomes, and pre‑registered decision criteria.</w:t>
      </w:r>
    </w:p>
    <w:p>
      <w:r>
        <w:t xml:space="preserve"> </w:t>
      </w:r>
    </w:p>
    <w:p>
      <w:pPr>
        <w:pStyle w:val="Heading2"/>
      </w:pPr>
      <w:r>
        <w:t>Risk Factors And Limitations</w:t>
      </w:r>
    </w:p>
    <w:p>
      <w:r>
        <w:t>1. MVPA decodability may be too low in single trials (low AUC/balanced accuracy) preventing reliable d_t estimates. 2. Neuromodulation may fail to perturb deep insula signals or may produce off‑target effects; superficial proxies (IFOp/dAI) are imperfect surrogates. 3. Pharmacological interventions are nonspecific and may change arousal or motivation confounded with opportunity cost. 4. Physiological signals (SCR, pupil, HR) are noisy and subject to artifacts (blinks, movement, respiration) and may correlate with task demands or motion. 5. Trial counts per subject may be insufficient for stable within‑person estimates if many trials are lost to artifacts or noncompliance. 6. EMA and lab→field coupling may suffer from missing not at random (MNAR) patterns and limited compliance reducing generalizability. 7. Safety and ethics constrain fasting and pain manipulations, limiting effect sizes and sample representativeness. 8. Model identifiability can fail when predictors (decoded d_t, opportunity cost, control commands) are highly collinear, limiting causal interpretation. 9. Results may not generalize beyond the specific tasks, affective domains, or populations studied, and exclusions (medical, medication) reduce population representativeness.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