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history_therapy_framework</w:t>
      </w:r>
    </w:p>
    <w:p>
      <w:r>
        <w:t xml:space="preserve"> </w:t>
      </w:r>
    </w:p>
    <w:p>
      <w:pPr>
        <w:pStyle w:val="Heading2"/>
      </w:pPr>
      <w:r>
        <w:t>Title</w:t>
      </w:r>
    </w:p>
    <w:p>
      <w:r>
        <w:t>History Therapy: a structured intervention using curated historical worldviews to support meaning-making and psychological well-being</w:t>
      </w:r>
    </w:p>
    <w:p>
      <w:r>
        <w:t xml:space="preserve"> </w:t>
      </w:r>
    </w:p>
    <w:p>
      <w:pPr>
        <w:pStyle w:val="Heading2"/>
      </w:pPr>
      <w:r>
        <w:t>Short Hypothesis</w:t>
      </w:r>
    </w:p>
    <w:p>
      <w:r>
        <w:t>Structured exposure to curated historical worldviews combined with guided reflection causes greater increases in meaning-in-life and psychological well-being than a matched life-history reflection control.</w:t>
      </w:r>
    </w:p>
    <w:p>
      <w:r>
        <w:t xml:space="preserve"> </w:t>
      </w:r>
    </w:p>
    <w:p>
      <w:pPr>
        <w:pStyle w:val="Heading2"/>
      </w:pPr>
      <w:r>
        <w:t>Related Work</w:t>
      </w:r>
    </w:p>
    <w:p>
      <w:r>
        <w:t>Prior approaches combine narrative therapy, meaning-centered psychotherapy, bibliotherapy (using texts to prompt reflection), and exposure-based techniques to change beliefs and well-being. Digital humanities projects provide tools to curate and present cultural texts. Existing methods show that narrative and meaning work can improve well-being but face limitations: interventions are often unstructured, lack a replicable curation pipeline, and provide limited safety rules for identity challenges. Measurement in prior studies relies on general well-being and narrative measures without instruments tuned to historic resonance or immediate cognitive dissonance. Cultural permission, provenance, and community co-creation are inconsistently handled. There is limited evidence on mechanisms linking exposure to alternate worldviews with lasting meaning change, and scalability is constrained by ad hoc therapist training and weak psychometric validation of key mediators.</w:t>
      </w:r>
    </w:p>
    <w:p>
      <w:r>
        <w:t xml:space="preserve"> </w:t>
      </w:r>
    </w:p>
    <w:p>
      <w:pPr>
        <w:pStyle w:val="Heading2"/>
      </w:pPr>
      <w:r>
        <w:t>Abstract</w:t>
      </w:r>
    </w:p>
    <w:p>
      <w:r>
        <w:t>We propose History Therapy (HT), a structured intervention that uses curated historical worldviews plus guided reflection to support meaning-making and well-being. HT presents short, annotated vignettes representing diverse historical perspectives in a sequenced six-session protocol delivered by trained facilitators. The main contribution is an audit-ready, safety-focused framework that integrates curation standards, therapist fidelity criteria, and new measurement tools (Historical Resonance Scale and Cognitive Dissonance After Exposure) to evaluate immediate perturbation and subsequent meaning change. We aim to test whether exposure plus reflection increases presence of meaning (primary outcome) versus an active, matched life-history reflection control, and to test mechanisms linking cognitive-affective perturbation to narrative reconfiguration and behavioral consolidation. Expected outcomes include validated measures, an implementable therapist-training syllabus, and pilot data on safety, feasibility, and mechanisms to guide a definitive randomized trial. The approach is designed for reproducibility, community safeguards, and to inform ethically grounded therapeutic use of humanities materials.</w:t>
      </w:r>
    </w:p>
    <w:p>
      <w:r>
        <w:t xml:space="preserve"> </w:t>
      </w:r>
    </w:p>
    <w:p>
      <w:pPr>
        <w:pStyle w:val="Heading2"/>
      </w:pPr>
      <w:r>
        <w:t>Methodology</w:t>
      </w:r>
    </w:p>
    <w:p>
      <w:r>
        <w:t>1) Curation and governance: assemble a small set (6–12) of short annotated historical vignettes. Each vignette includes provenance metadata, trigger advisories, brief primary-source excerpts, and reflective prompts. Use community advisory boards (CABs) to approve or adapt vignettes for cultural safety. 2) Therapist training: a 4-week syllabus (~40 hours) covering framing, cultural humility, managing distress, and fidelity-rated role-plays. Fidelity uses a 15-item checklist with critical safety items. 3) Intervention delivery: six sessions per participant (intake/screen; orientation/worldview mapping; three exposure+reflection sessions; integration/consolidation). Each exposure presents one vignette, a guided reflection, and a behavioral experiment/homework. 4) Measurement: administer validated outcome scales and new instruments: Historical Resonance Scale (HRS, state responses about felt relevance), Cognitive Dissonance After Exposure (CDAE, immediate perturbation), Meaning in Life Questionnaire - Presence (MLQ-Presence, primary outcome), WHO-5 for well-being, PHQ-9/GAD-7 for symptoms, and Clinician Identity Destabilization Rating (CIDR). Explain technical terms: CFA (confirmatory factor analysis) tests if items form expected factors; IRT (item response theory) evaluates how well each item measures the trait across people. 5) Psychometrics: run cognitive interviews, then EFA and CFA, IRT and DIF (differential item functioning) analyses to refine scales. 6) Safety: implement per-session opt-out, in-session pause, real-time distress flags (clinician review), and DSMB oversight with pre-specified reporting rules. Example: a vignette on Stoic self-mastery with reflective prompt "Which Stoic value resonates or conflicts with a recent choice?" and homework: try one small behavioral experiment for two days and record reflections.</w:t>
      </w:r>
    </w:p>
    <w:p>
      <w:r>
        <w:t xml:space="preserve"> </w:t>
      </w:r>
    </w:p>
    <w:p>
      <w:pPr>
        <w:pStyle w:val="Heading2"/>
      </w:pPr>
      <w:r>
        <w:t>Experiments</w:t>
      </w:r>
    </w:p>
    <w:p>
      <w:r>
        <w:t>Datasets: recruit human participant samples from three initial sites: (A) urban diverse community; (B) Spanish-speaking immigrant community (translated materials); (C) one Indigenous partner site only after CAB approval. Phase A feasibility: N=20–30 single-arm. Phase B randomized pilot: N=60 (30 HT / 30 active control). Definitive target for power planning: N≈200 (100/arm). Baselines: active control = manualized life-history reflection matched for session time, homework, and therapist contact. Metrics: primary = MLQ-Presence change baseline→post; secondary = WHO-5, HRS, CDAE (state), PHQ-9, GAD-7, narrative coherence (coded), fidelity scores, adverse-event count. Psychometric metrics: Cronbach's alpha/omega ≥.70, test–retest ICC≥.60, inter-rater ICC≥.70 for narrative coding. Experimental setup: pre-register SAP and instruments; randomize participants 1:1 stratified by site; assessments at baseline, post-treatment (week 8), 3 months, 6 months. Analysis: linear mixed-effects model (random intercepts for participant and therapist) testing time × arm interaction; alpha=0.05. Mediation: multilevel mediation testing CDAE (session-level) → narrative coherence (session-level) → MLQ-Presence (participant-level) with Monte Carlo CIs. Psychometric pipeline: cognitive interviews n=12–20; EFA n≈200; CFA n≥200; IRT discrimination threshold flag &lt;0.50; DIF via ordinal logistic regression (flag p&lt;.01 or R2 change&gt;0.02). Ablation studies: (1) HT full protocol vs HT without historian framing (same vignette text, no contextual framing); (2) curated vignettes vs generic historical summaries (compare HRS/CDAE responses). Safety evaluation: report SAE counts, percent meeting identity-destabilization composite, and DSMB-trigger events. Baseline covariates: age, gender, baseline MLQ, site. Missing data: use mixed models (assume MAR) with multiple imputation sensitivity checks.</w:t>
      </w:r>
    </w:p>
    <w:p>
      <w:r>
        <w:t xml:space="preserve"> </w:t>
      </w:r>
    </w:p>
    <w:p>
      <w:pPr>
        <w:pStyle w:val="Heading2"/>
      </w:pPr>
      <w:r>
        <w:t>Risk Factors And Limitations</w:t>
      </w:r>
    </w:p>
    <w:p>
      <w:r>
        <w:t>1) Identity destabilization: exposure may cause lasting distress in some participants, producing SAEs or dropout. 2) Measurement errors: new scales (HRS, CDAE, CIDR) may show poor reliability or bias across cultural groups. 3) False alarms: automated distress flags can generate false positives, causing alert fatigue. 4) Cultural harm: misuse of community-held vignettes without full CAB consent can cause harm or legal issues. 5) Permission delays: provenance and licensing may delay vignette availability. 6) Recruitment shortfall: sample targets (EFA/CFA sizes) may be infeasible, limiting psychometric validation. 7) Therapist variability: differing therapist skill or fidelity can introduce clustering and confound effect estimates. 8) Narrative de-identification limits: removing identifiers can reduce utility of narrative data for NLP and qualitative coding. 9) Generalizability: pilot sites may not represent wider populations and results may not scale to different cultural contexts. 10) Compute/scalability: real-time alerting and encrypted offline bundles require engineering resources and secure hosting that may be costly.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