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single_indentation_sibhudu</w:t>
      </w:r>
    </w:p>
    <w:p>
      <w:r>
        <w:t xml:space="preserve"> </w:t>
      </w:r>
    </w:p>
    <w:p>
      <w:pPr>
        <w:pStyle w:val="Heading2"/>
      </w:pPr>
      <w:r>
        <w:t>Title</w:t>
      </w:r>
    </w:p>
    <w:p>
      <w:r>
        <w:t>Single indentation measurement of hardness and stiffness to predict raw material selection and tool shape in Middle Stone Age assemblages from Sibhudu</w:t>
      </w:r>
    </w:p>
    <w:p>
      <w:r>
        <w:t xml:space="preserve"> </w:t>
      </w:r>
    </w:p>
    <w:p>
      <w:pPr>
        <w:pStyle w:val="Heading2"/>
      </w:pPr>
      <w:r>
        <w:t>Short Hypothesis</w:t>
      </w:r>
    </w:p>
    <w:p>
      <w:r>
        <w:t>Single, instrumented indentation measurements that yield hardness (H) and stiffness (E) can predict variation in raw material selection and resulting flake geometry (thinness and edge angle) in Sibhudu artifacts better than taxonomic assignment alone.</w:t>
      </w:r>
    </w:p>
    <w:p>
      <w:r>
        <w:t xml:space="preserve"> </w:t>
      </w:r>
    </w:p>
    <w:p>
      <w:pPr>
        <w:pStyle w:val="Heading2"/>
      </w:pPr>
      <w:r>
        <w:t>Related Work</w:t>
      </w:r>
    </w:p>
    <w:p>
      <w:r>
        <w:t>Existing approaches measure mechanical properties of stone raw materials using multiple specialised techniques: Knoop or Vickers microhardness tests (for hardness), instrumented indentation (for hardness and sometimes modulus), ultrasonic or resonant methods (for Young's modulus), and fracture tests (radial‑crack indentation, SENB or micro‑cantilever) for toughness (K_IC). Studies have shown that indentation can estimate H and E, and that K_IC from indentation (Lawn–Evans–Marshall) can be valid for clear radial cracks. Limitations remain: microhardness and ultrasonic tests require different setups and specimen shapes, surface preparation strongly biases results, indentation size effects (ISE) and microstructural heterogeneity make results scale‑dependent, indentation K_IC is invalid when radial cracks are absent or porosity is high, and many workflows need destructive sampling or complex validation that limits museum access. Transferability from quasi‑static indentation to dynamic knapping behaviour has not been quantified with clear numeric thresholds.</w:t>
      </w:r>
    </w:p>
    <w:p>
      <w:r>
        <w:t xml:space="preserve"> </w:t>
      </w:r>
    </w:p>
    <w:p>
      <w:pPr>
        <w:pStyle w:val="Heading2"/>
      </w:pPr>
      <w:r>
        <w:t>Abstract</w:t>
      </w:r>
    </w:p>
    <w:p>
      <w:r>
        <w:t>We propose a simplified single‑indentation workflow that extracts hardness (H) and Young's modulus (E) from one instrumented indentation protocol to evaluate whether these two mechanical metrics predict raw material selection and tool shape in Middle Stone Age artifacts from Sibhudu. The approach uses a spherical continuous‑record indentation to average microstructure and produce robust load–displacement curves, combined with imaging (SEM, profilometry, micro‑CT) to correct contact area and flag invalid indents. We add targeted measurements of Poisson's ratio and, where valid, radial‑crack indentation for fracture toughness (K_IC). The main contribution is an operational, reproducible protocol that minimizes destructive sampling and produces uncertainty‑quantified H and E values suitable for archaeologically focused mixed‑effects models. Expected outcomes include validated correlations between indentation‑derived mechanical properties and knapping outcomes, precomputed sampling targets and stopping rules, and open datasets and code to allow reproducible testing of raw material effects on tool form at Sibhudu.</w:t>
      </w:r>
    </w:p>
    <w:p>
      <w:r>
        <w:t xml:space="preserve"> </w:t>
      </w:r>
    </w:p>
    <w:p>
      <w:pPr>
        <w:pStyle w:val="Heading2"/>
      </w:pPr>
      <w:r>
        <w:t>Methodology</w:t>
      </w:r>
    </w:p>
    <w:p>
      <w:r>
        <w:t>1) Specimen selection: choose non‑diagnostic or spare flakes from Sibhudu across main materials (silcrete/chert, dolerite/quartzite, hornfels/rhyolite). Log provenance, cortex %, reduction stage, and accession numbers. 2) Surface strategy: for each material make paired samples: (a) minimal trim (flat lap only) and (b) fully polished spare chip (1 µm diamond). Record polish status. 3) Indentation protocol: use instrumented continuous‑record spherical indenter (recommended radius 100–200 µm) as default; use Berkovich only if mean grain size &lt;~10 µm. Choose Pmax to give contact diameter ≥3–5× mean grain size, indentation depth ≥10× RMS roughness and &lt;10% specimen thickness. Load ramp 10–30 s to Pmax, hold 20–30 s, unload same rate. Record high‑rate load–displacement data. 4) Imaging and Ac correction: image all indents with SEM; where pile‑up/sink‑in appears, obtain confocal or optical profilometry to measure actual contact area (Ac) and apply correction. 5) Poisson's ratio and K_IC: measure ν by ultrasonic P‑ and S‑wave velocities or resonant frequency on small blocks. For K_IC, perform radial‑crack Vickers only when radial cracks match Lawn–Evans–Marshall assumptions; otherwise mark invalid and use SENB or micro‑cantilever tests on spare blocks for validation. 6) QA: reject indents with lateral cracks beyond contact, proximity &lt;3× contact diameter to edges/other indents, anomalous pop‑ins, unload stiffness outside ±3σ, or unresolved pile‑up correction &gt;10%. 7) Uncertainty: propagate measurement uncertainties (area function, Ac correction, ν, tip wear) with Monte Carlo draws at the indent level. 8) Data and ethics: limit destructive actions to spare fragments, get curator consent, log metadata, and archive raw curves, images and code in open formats.</w:t>
      </w:r>
    </w:p>
    <w:p>
      <w:r>
        <w:t xml:space="preserve"> </w:t>
      </w:r>
    </w:p>
    <w:p>
      <w:pPr>
        <w:pStyle w:val="Heading2"/>
      </w:pPr>
      <w:r>
        <w:t>Experiments</w:t>
      </w:r>
    </w:p>
    <w:p>
      <w:r>
        <w:t>Datasets: Pilot dataset: 3–4 materials, 8–12 specimens per material, 30–50 indents per material (≈3–6 indents/specimen). Knapping dataset: for same blocks, instrumented knapping trials with 10 standardized cores per material producing ~30 diagnostic flakes per material. Full dataset target: 20–30 specimens/material and 20–50 indents/material. Baselines: (A) Knoop or Vickers microhardness measurements; (B) ultrasonic/resonant Young's modulus; (C) fracture toughness from SENB or micro‑cantilever beams; (D) taxonomic prediction using raw material class only. Evaluation metrics: coefficient of determination (R2) and RMSE for continuous predictions (flake thinness, thickness/width ratio, edge angle), standard error of mean E (target &lt;5%), intraclass correlation (ICC) for variance components, Bayesian posterior credible intervals coverage (95%), and prediction intervals for holdout flakes. Experimental setup: run indents with spherical R=100–200 µm (unless grain &lt;10 µm where Berkovich used), Pmax ranges per grain class (fine 0.05–0.5 N; medium 0.5–5 N; coarse 5–30 N), load/unload rates as in Methodology, and imaging QA per indent. Statistical models: Bayesian hierarchical measurement‑error models with specimen and material random effects; covariates: grain size, porosity (micro‑CT), polish_status, cortex %, indent depth, Ac_correction_fraction. Ablation studies: (1) full pipeline vs no Ac correction; (2) full pipeline vs fixed ν (no ν propagation); (3) spherical vs Berkovich where both applicable; (4) indentation K_IC vs SENB/micro‑cantilever K_IC comparison. Validation targets: require SE(E)&lt;5% per material and R2 improvement over baseline taxonomic model by at least 0.1 for supporting predictive utility. Crossvalidation: leave‑one‑specimen‑out at specimen level for predictive performance and compute coverage of Bayesian credible intervals.</w:t>
      </w:r>
    </w:p>
    <w:p>
      <w:r>
        <w:t xml:space="preserve"> </w:t>
      </w:r>
    </w:p>
    <w:p>
      <w:pPr>
        <w:pStyle w:val="Heading2"/>
      </w:pPr>
      <w:r>
        <w:t>Risk Factors And Limitations</w:t>
      </w:r>
    </w:p>
    <w:p>
      <w:r>
        <w:t>1) Curatorial limits: museums may restrict destructive sampling, limiting specimen counts and power. 2) Indentation size and heterogeneity: small grain size or large heterogeneity can produce strong indentation size effects (ISE) and scatter in H and E. 3) Surface preparation bias: polishing changes near‑surface microstructure and may bias results relative to as‑used artifacts. 4) K_IC validity: indentation K_IC is invalid when radial cracks are absent, crack patterns are complex, or porosity/microcrack density exceeds practical thresholds; then fallback fracture tests may be required. 5) Transferability: quasi‑static indentation metrics may not map cleanly to dynamic knapping strain rates; numeric transfer thresholds may be lower than needed. 6) Equipment and calibration: tip wear, area‑function drift, or profilometry errors can dominate uncertainty. 7) Statistical limits: high within‑specimen variance or low sample access can reduce power and inflate credible intervals. 8) Generalization: protocol validated on Sibhudu lithologies may not generalize to very different rock types without revalidation.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