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pygmalion_golem_narratives</w:t>
      </w:r>
    </w:p>
    <w:p>
      <w:r>
        <w:t xml:space="preserve"> </w:t>
      </w:r>
    </w:p>
    <w:p>
      <w:pPr>
        <w:pStyle w:val="Heading2"/>
      </w:pPr>
      <w:r>
        <w:t>Title</w:t>
      </w:r>
    </w:p>
    <w:p>
      <w:r>
        <w:t>Multimodal NLP and quasi-experimental causal analysis of how cultural narratives and regulatory policies influence AI development and public perception</w:t>
      </w:r>
    </w:p>
    <w:p>
      <w:r>
        <w:t xml:space="preserve"> </w:t>
      </w:r>
    </w:p>
    <w:p>
      <w:pPr>
        <w:pStyle w:val="Heading2"/>
      </w:pPr>
      <w:r>
        <w:t>Short Hypothesis</w:t>
      </w:r>
    </w:p>
    <w:p>
      <w:r>
        <w:t>A sustained increase in Pygmalion-positive narrative exposure in regional media and policy texts causes a measurable increase in AI safety-related grant funding in that region within six months.</w:t>
      </w:r>
    </w:p>
    <w:p>
      <w:r>
        <w:t xml:space="preserve"> </w:t>
      </w:r>
    </w:p>
    <w:p>
      <w:pPr>
        <w:pStyle w:val="Heading2"/>
      </w:pPr>
      <w:r>
        <w:t>Related Work</w:t>
      </w:r>
    </w:p>
    <w:p>
      <w:r>
        <w:t>Prior work shows that cultural narratives and media portrayals can shape public attitudes and policy debates, and separately that policy texts and funding influence technological directions. Media-effects studies use content analysis and experiments to link portrayals to attitudes, while computational work applies NLP and multimodal models to label sentiment and frames. Causal studies of media impacts rely on quasi-experimental designs such as difference-in-differences, synthetic control, and interrupted time series. Limitations remain: most studies are single-modality (text-only or image-only), small-scale, or limited to one language or country; exposure measures are often coarse (presence/absence) rather than reach-weighted aggregates; causal identification is sometimes weak or not pre-registered; cross-cultural and multilingual quality assurance is limited; and reproducibility, licensing, and ethical handling of copyrighted media are often underspecified.</w:t>
      </w:r>
    </w:p>
    <w:p>
      <w:r>
        <w:t xml:space="preserve"> </w:t>
      </w:r>
    </w:p>
    <w:p>
      <w:pPr>
        <w:pStyle w:val="Heading2"/>
      </w:pPr>
      <w:r>
        <w:t>Abstract</w:t>
      </w:r>
    </w:p>
    <w:p>
      <w:r>
        <w:t>This project studies whether and how cultural narratives in films, policy texts, and social media influence the course of AI development and public perception. We combine multimodal content labeling (text, visuals, audio) with a pre-defined narrative exposure index that weights prevalence by audience reach and social amplification. We then apply quasi-experimental causal methods—event-study difference-in-differences with staggered timing corrections, synthetic control, and interrupted time series—to estimate effects of narrative shifts on a primary outcome: regional AI safety grant funding within six months. The main contribution is a reproducible pipeline that (1) operationalizes narrative exposure across modalities and languages, (2) links exposure timelines to measurable outcomes using pre-registered causal estimands, and (3) provides multilingual annotation standards and validation targets. Expected outcomes include an open codebook, labeled pilot data, pre-registered causal tests, and estimates of whether narrative changes precede measurable funding shifts, informing policy on media, research funding, and governance.</w:t>
      </w:r>
    </w:p>
    <w:p>
      <w:r>
        <w:t xml:space="preserve"> </w:t>
      </w:r>
    </w:p>
    <w:p>
      <w:pPr>
        <w:pStyle w:val="Heading2"/>
      </w:pPr>
      <w:r>
        <w:t>Methodology</w:t>
      </w:r>
    </w:p>
    <w:p>
      <w:r>
        <w:t>1) Data collection: gather multimodal media (film clips, TV episodes, policy documents, press, social posts) and outcome data (regional grant funding records). Record metadata: language, release date, region, and reach metrics (box office, streaming availability, TV ratings, social impressions).</w:t>
        <w:br/>
        <w:t>2) Exposure index: compute a time-series index per region by summing labeled scene-level narrative scores weighted by reach. Components: media_narrative_score (average valence per scene), policy_mention_score (counts of Pygmalion/Golem frames in policy texts), research_mention_score (frequency in news/research coverage), and social_amplification (shares/impressions). Weights are configurable; example formula: Exposure_t = w1 * sum(media_narrative_score * reach) + w2 * policy_mention_count + w3 * research_mentions + w4 * social_impressions. "Reach" is audience size estimate. We will pre-specify weights and test alternatives in ablation.</w:t>
        <w:br/>
        <w:t>3) Annotation and codebook: use the numeric codebook with labels: valence (Pygmalion/Golem/neutral), agency (0–3), anthropomorphism (0–4), outcome frame (utopian/ambiguous/dystopian), and flags. Train multilingual coder panels, double-code a stratified sample (N=600) and report inter-annotator agreement (target Cohen's kappa &gt;= 0.70). Adjudicate disagreements with a third coder.</w:t>
        <w:br/>
        <w:t>4) Feature extraction: text: tokenize and encode dialogue/subtitles with multilingual transformer encoders (mBERT or similar). Visual: extract shot boundaries, face presence, framing, and motion features. Audio: extract prosody and music valence using pretrained audio encoders. Create scene-level feature vectors.</w:t>
        <w:br/>
        <w:t>5) Modeling: train modality-specific encoders and a late-fusion meta-classifier to predict Pygmalion/Golem labels. Also train a joint multimodal transformer as an alternative. Validate on held-out human-coded set (target AUC &gt;= 0.80). Check per-language performance and report recall gaps.</w:t>
        <w:br/>
        <w:t>6) Causal analysis: pre-register primary estimand (ATT). Use event-study DiD with jurisdiction and month fixed effects, cluster SEs by jurisdiction, and apply staggered-adoption corrections (Sun &amp; Abraham). Run synthetic control and interrupted time series as robustness. Pre-specify placebo leads and permutation tests. Test mediation with funding as mediator using standard causal mediation estimators (product-of-coefs) and report sensitivity.</w:t>
        <w:br/>
        <w:t>7) Governance: prepare IRB protocol, licensing inventory, and data governance plan for derived/public vs controlled access datasets.</w:t>
      </w:r>
    </w:p>
    <w:p>
      <w:r>
        <w:t xml:space="preserve"> </w:t>
      </w:r>
    </w:p>
    <w:p>
      <w:pPr>
        <w:pStyle w:val="Heading2"/>
      </w:pPr>
      <w:r>
        <w:t>Experiments</w:t>
      </w:r>
    </w:p>
    <w:p>
      <w:r>
        <w:t>Datasets: Pilot corpus: ~30 films, 50 policy documents, social media sample and linked regional funding series. Full corpus: &gt;=500 titles and policy documents across &gt;=8 languages, monthly funding data per region (grant counts and dollars), patent and publication series for secondary outcomes.</w:t>
        <w:br/>
        <w:t>Baselines: 1) Text-only classifier (multilingual transformer fine-tuned on labels). 2) Vision-only classifier (CLIP/ViT features + classifier). 3) Audio-only classifier (Wav2Vec2 features + classifier). 4) Late-fusion multimodal ensemble. 5) Joint multimodal transformer.</w:t>
        <w:br/>
        <w:t>Annotation split: seed labeled set -&gt; train/validation/test with stratified sampling by language and genre. Use double-coded N=600 for validation and IAA reporting.</w:t>
        <w:br/>
        <w:t>Classification evaluation metrics: AUC, precision, recall, F1, per-language recall gap. Targets: AUC &gt;= 0.80; per-language recall gap &lt;= 10%.</w:t>
        <w:br/>
        <w:t>Causal evaluation: primary estimand = ATT on monthly AI safety grant dollars per region in 0–6 months post-exposure. Primary model: event-study DiD with jurisdiction and month fixed effects; report point estimates, clustered SEs, and 95% confidence intervals. Robustness: Sun &amp; Abraham staggered estimator, synthetic control, interrupted time series. Placebo tests: leads at −6 and −12 months and permutation of treatment dates. Report permutation p-values.</w:t>
        <w:br/>
        <w:t>Ablations: 1) Modality ablation: compare full multimodal model vs text-only, vision-only, audio-only. 2) Exposure index ablation: compare reach-weighted index vs unweighted counts. 3) Causal method ablation: compare DiD vs synthetic control estimates.</w:t>
        <w:br/>
        <w:t>Mediation test: estimate proportion mediated by public perception measures collected from survey experiments. Report mediated effect and sensitivity parameter for unmeasured confounding.</w:t>
        <w:br/>
        <w:t>Reproducible setup: seed fixed splits, Docker container, and fixed hyperparameter logs. Cross-validation: 5-fold for classifier training. Pre-registration: models, estimands, event windows, and multiplicity corrections specified before main tests.</w:t>
      </w:r>
    </w:p>
    <w:p>
      <w:r>
        <w:t xml:space="preserve"> </w:t>
      </w:r>
    </w:p>
    <w:p>
      <w:pPr>
        <w:pStyle w:val="Heading2"/>
      </w:pPr>
      <w:r>
        <w:t>Risk Factors And Limitations</w:t>
      </w:r>
    </w:p>
    <w:p>
      <w:r>
        <w:t>1) Measurement error in exposure index: reach data may be noisy or unavailable for some platforms. 2) Endogeneity and confounding: media releases and funding may be jointly driven by third factors, limiting causal claims. 3) Instrument plausibility: candidate instruments (festival schedules, platform rollouts) may violate exclusion restrictions. 4) Annotation reliability: low inter-annotator agreement, especially across cultures and languages. 5) Multilingual model limits: low-resource languages may have poor classification performance. 6) Licensing and legal constraints: copyrighted media may restrict storage or public release. 7) Privacy and legal risks: social media scraping and cross-border data flows may trigger legal limits (GDPR, local law). 8) Sparse outcomes: patent or grant counts may be rare, reducing statistical power. 9) Compute and scale: multimodal models and alignment require substantial compute and storage beyond initial estimates. 10) External validity: results in sampled regions/genres may not generalize globally.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