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peircean_interpretant_pilot</w:t>
      </w:r>
    </w:p>
    <w:p>
      <w:r>
        <w:t xml:space="preserve"> </w:t>
      </w:r>
    </w:p>
    <w:p>
      <w:pPr>
        <w:pStyle w:val="Heading2"/>
      </w:pPr>
      <w:r>
        <w:t>Title</w:t>
      </w:r>
    </w:p>
    <w:p>
      <w:r>
        <w:t>Testing Peircean semiotic grounding in large language models via persistent referent records, provenance-backed indexical evidence, and causal interventions</w:t>
      </w:r>
    </w:p>
    <w:p>
      <w:r>
        <w:t xml:space="preserve"> </w:t>
      </w:r>
    </w:p>
    <w:p>
      <w:pPr>
        <w:pStyle w:val="Heading2"/>
      </w:pPr>
      <w:r>
        <w:t>Short Hypothesis</w:t>
      </w:r>
    </w:p>
    <w:p>
      <w:r>
        <w:t>When a large language model is given persistent referent records with signed provenance and indexical sensor evidence, then its referential behavior will depend causally on those records such that atomic deletion of a referent record changes outputs and targeted activation patching of recorded activations restores original referential behavior.</w:t>
      </w:r>
    </w:p>
    <w:p>
      <w:r>
        <w:t xml:space="preserve"> </w:t>
      </w:r>
    </w:p>
    <w:p>
      <w:pPr>
        <w:pStyle w:val="Heading2"/>
      </w:pPr>
      <w:r>
        <w:t>Related Work</w:t>
      </w:r>
    </w:p>
    <w:p>
      <w:r>
        <w:t>Prior work explores retrieval-augmented generation, memory-augmented language systems, multimodal models that combine vision and text, and causal intervention methods like activation patching and probing. Retrieval-augmented systems add external evidence but often do not maintain canonical, persistent referent entries tied to provenance. Memory-augmented models store state across interactions but typically rely on distributional co-occurrence rather than signed sensor evidence or indexed timestamps. Multimodal research enables cross-modal reference but often lacks long-lived, socially-mediated stabilization tests. Causal interpretability methods demonstrate unit- and layer-level effects but face limits when representations are distributed; single-site patching results can be inconclusive without multi-site or mediation analysis. Work on alignment and RLHF improves behavior but does not operationalize Peirce’s sign-object-interpretant triad or test indexical grounding under adversarial provenance attacks. Open issues include absence of falsifiable semiotic criteria, weak tests of indexicality, distributed causation, and adversarial provenance resilience.</w:t>
      </w:r>
    </w:p>
    <w:p>
      <w:r>
        <w:t xml:space="preserve"> </w:t>
      </w:r>
    </w:p>
    <w:p>
      <w:pPr>
        <w:pStyle w:val="Heading2"/>
      </w:pPr>
      <w:r>
        <w:t>Abstract</w:t>
      </w:r>
    </w:p>
    <w:p>
      <w:r>
        <w:t>This project evaluates whether large language models (LLMs) can function as Peircean interpretants by testing whether they form, use, and depend on persistent, provenance-linked referent records that mediate between external objects/events and later outputs. We introduce an experimental protocol that creates canonical referent records (referent_id, canonical embedding, signed provenance chain) via multimodal ostension (vision + gesture + utterance), logs activation snapshots during referent use, and implements atomic memory edits plus targeted activation patching. The main contribution is a preregistered causal test suite that combines behavioral probes (referential queries, mediated social negotiation) with internal-trace interventions and adversarial provenance scenarios. Expected outcomes are (a) demonstrable necessity and partial sufficiency of referent records for referential outputs, measured by behavioral shifts after deletion and restoration after activation patching, and (b) quantitative metrics for Referential Stability, Grounding Precision, and socio-epistemic convergence. Results will clarify whether indexical grounding—not just retrieval—enables LLMs to participate in socially-mediated epistemology.</w:t>
      </w:r>
    </w:p>
    <w:p>
      <w:r>
        <w:t xml:space="preserve"> </w:t>
      </w:r>
    </w:p>
    <w:p>
      <w:pPr>
        <w:pStyle w:val="Heading2"/>
      </w:pPr>
      <w:r>
        <w:t>Methodology</w:t>
      </w:r>
    </w:p>
    <w:p>
      <w:r>
        <w:t>1) Define canonical referent schema: each referent record contains referent_id (UUID), canonical_label, canonical_embedding (vector), provenance_chain (signed event ids with timestamps), modality_sources, first_seen, last_confirmed, and trust_score. 2) Instrumentation: log token-&gt;referent spans, pointer-attention weights (attention used by the model to point to external evidence), retrieval hits, and activation snapshots of model layers at referent-use time. Explain: pointer-attention = the model’s internal attention that can indicate which memory entry or token it is referencing; activation snapshot = numerical state of selected layers at a given time. 3) Introduce referents: produce ostensive events where a human points at an object while a camera image, timestamp, and human utterance are recorded; sign logs cryptographically or simulate signed logs. 4) Implement referent store with atomic edit API: create, delete, swap provenance, and restore with versioned commit hashes. 5) Activation interventions: record layer activations when a referent is used; later re-inject those activations (activation patching) targeted at top-4 transformer layers and cross-attention where applicable. Explain: activation patching = replacing current activations with previously-recorded activations to test sufficiency. 6) Behavioral probes: referential queries, cross-modal transfer checks, and mediated social negotiation rounds. 7) Causal analysis: run do-style edits and activation patches; perform causal mediation analysis linking pointer-attention/retrieval hits and referent records to outputs using mixed-effect models and bootstrapping. 8) Pre-register thresholds and stopping rules and log all artifacts for reproducibility. Example: introduce a novel object, delete its referent record, observe output change, then re-inject recorded activations to test restoration.</w:t>
      </w:r>
    </w:p>
    <w:p>
      <w:r>
        <w:t xml:space="preserve"> </w:t>
      </w:r>
    </w:p>
    <w:p>
      <w:pPr>
        <w:pStyle w:val="Heading2"/>
      </w:pPr>
      <w:r>
        <w:t>Experiments</w:t>
      </w:r>
    </w:p>
    <w:p>
      <w:r>
        <w:t>Datasets and collections: A) Controlled multimodal referent set: 100 synthetic novel objects photographed and video-recorded with human ostension actions and signed timestamps. B) Social negotiation dialogs: 20–30 human participants performing naming and correction rounds for 50 ambiguous referents. C) Adversarial provenance set: forged and timestamp-jittered logs to simulate attacks. Models and baselines: 1) baseline LLM (no memory, retrieval disabled), 2) retrieval-augmented LLM (no persistent referent store), 3) memory-only store (persistent referent records without signed provenance), 4) full system (persistent referent store + signed provenance + activation logging). Architecture: transformer-based LLMs at 7B and 13B parameter scales with retrieval augmentation; target top-4 layers and cross-attention for patching. Metrics: Referential Stability (RS) per referent; Grounding Precision (GP); Intervention-Response Alignment (IRA); Update Latency (UL); Social Convergence Score (entropy reduction across negotiation rounds); annotation inter-annotator agreement (Cohen’s kappa). Experimental setup: Pilot N=300–500 episodes (one episode = introduction + probes) with ~50–100 referents. For each referent run: introduce multimodal evidence, probe cross-modal queries across two later sessions, run deletion swap restore interventions, perform activation patching to test restoration, and run social negotiation sequences with and without injected forged provenance. Statistical analysis: preregister mixed-effects model outcome_ij ~ Condition + ProbeType + (1|referent) + (1|participant), bootstrap CIs, and causal mediation tests with alpha=0.01. Ablations: A) remove provenance (compare memory-only vs full), B) disable activation patching (compare retrieval-only restoration vs patching), C) vary provenance strength (Tier1 signed vs Tier3 unauthenticated), D) DP ablation: vary ε in DP noise on stored embeddings and report accuracy-vs-ε curves.</w:t>
      </w:r>
    </w:p>
    <w:p>
      <w:r>
        <w:t xml:space="preserve"> </w:t>
      </w:r>
    </w:p>
    <w:p>
      <w:pPr>
        <w:pStyle w:val="Heading2"/>
      </w:pPr>
      <w:r>
        <w:t>Risk Factors And Limitations</w:t>
      </w:r>
    </w:p>
    <w:p>
      <w:r>
        <w:t>1) Distributed representation: referent information may be spread across many units so single-site patching may fail to restore behavior. 2) Model shortcuts: model may learn to exploit provenance strings or metadata tokens rather than genuine indexical grounding. 3) Forgery and replay attacks: signed provenance can be forged in some threat models or replayed, undermining indexicality tests. 4) Annotation bias: annotator disagreement or label-frequency effects can skew RS and GP metrics. 5) Privacy and PII: multimodal sensor logs may contain personal data limiting data sharing and reproducibility. 6) Compute limits: activation recording and patching across many layers is storage- and compute-intensive, limiting scale. 7) Generalization: success on controlled referents may not transfer to open-world referents or naturalistic social environments. 8) DP tradeoffs: adding differential privacy noise may degrade grounding signals and confound causal tests. 9) Ethical risk: mediating environment-changing actions based on model grounding without robust gating risks harm; governance decisions are required outside technical scope.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