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llm_mental_health_rag_provenance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Retrieval-augmented large language models with provenance and clinician-in-the-loop abstention for suicidality detection and hallucination reduction in mental health text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Adding retrieval-augmented generation (RAG) with explicit provenance plus a clinician-in-the-loop abstention policy to a large language model causes at least a 5 percentage-point increase in suicidality flag sensitivity and at least a 50% reduction in clinician-annotated clinically-critical hallucination rate compared to the same model without RAG or abstention.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applies large language models to symptom extraction, risk screening, therapeutic chatbots, and automated counseling using supervised fine-tuning or prompt engineering. Other approaches use retrieval augmentation for factual grounding, differential privacy (DP) for privacy, or federated learning to avoid raw-data pooling. Limitations remain: models tuned without provenance produce clinically-critical hallucinations; DP mechanisms often reduce utility and increase subgroup disparities; single-site training fails to generalize across populations and cultures; therapeutic-chatbot studies report poor clinical validation and limited emergency escalation design; evaluation often omits grounding or clinician-centric hallucination metrics and lacks stratified subgroup power analyses. Existing systems rarely combine RAG provenance, formal hallucination thresholds, federated/site-specific adaptation, and clinician-in-loop governance into a single, auditable pipeline.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study whether retrieval-augmented large language models (LLMs) with explicit provenance and a clinician-in-the-loop abstention policy improve detection of suicidality and reduce clinically-critical hallucinations in mental-health text. The approach integrates federated or credentialed multi-site corpora, parameter-efficient local adaptation, retrieval-augmented generation tied to document snippets, automated entailment checks, and a policy that forces abstention and clinician review when grounding is weak. Main contributions are: (1) a reproducible pipeline combining RAG provenance, NLI-based verification, and clinician abstention; (2) an annotation schema mapping free text to PHQ-9/GAD-7/C-SSRS flags and a benchmark including grounding and hallucination metrics; (3) an experimental plan comparing centralized, federated, and DP variants with precise safety gates. Expected outcomes are measurable increases in suicidality sensitivity and substantial reductions in clinician-annotated hallucinations, plus published privacy-utility-fairness curves and operational thresholds for safe pilot deployment.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1) Data collection and preprocessing: assemble tiered datasets (public shared-task sets, controlled clinical notes, psychotherapy transcripts). De-identify per Expert Determination and create stable pseudonymous IDs for longitudinal linkage. 2) Annotation: build a codebook that maps text to PHQ-9/GAD-7 items and C-SSRS tiers; pilot 200–500 records, double-annotate, and record inter-annotator agreement. 3) Model family and adaptations: start from a base LLM; apply parameter-efficient fine-tuning (LoRA — a low-rank adapter technique that updates small extra parameters instead of full model weights) for site-specific customization; keep a central model for shared components. 4) Retrieval and provenance (RAG): index curated knowledge sources (documents, clinical guidance). At generation time, retrieve top-k snippets and attach provenance metadata (doc ID, span offsets, snippet text, retrieval score). RAG: retrieval-augmented generation means the model conditions on retrieved text to ground outputs. 5) Verification and abstention: run an automated NLI (natural language inference — a check that tests if generated claims are entailed by retrieved snippets) to score consistency. Define grounding ratio as fraction of clinician-critical assertions with matching provenance. If grounding ratio &lt; threshold or NLI score &lt; threshold, trigger abstention and escalate to clinician. 6) Privacy experiments: implement federated training with secure aggregation; optionally run DP-SGD (differential privacy stochastic gradient descent — adds noise to protect individual contributions) with epsilon sweeps. 7) Evaluation pipeline: compute clinical detection metrics, calibration (ECE), grounding metrics (grounding ratio, source-precision@1), NLI entailment score, unverifiable-claim rate, and clinician-annotated hallucination rate. 8) Staged deployment: retrospective benchmark → silent (shadow) run → clinician-in-loop pilot with enforced abstention rules. 9) Logging and audit: log doc IDs, snippet spans, model version, thresholds, and clinician actions for reproducibility.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CLPsych/eRisk, RSDD (Reddit depression), DAIC-WOZ, MIMIC-III/IV (PhysioNet controlled access), i2b2 challenge corpora (DUA), and licensed psychotherapy transcripts. Splits: site-stratified train/validation/test; hold out at least one site for external generalization. Baselines: (A) base LLM fine-tuned centrally without RAG; (B) base LLM + RAG but no NLI verification or abstention; (C) federated LoRA fine-tuning without RAG; (D) federated LoRA + RAG + NLI + clinician abstention (proposed). DP variants: apply DP-SGD with epsilon ∈ {0.5,1,3,5,10} to (C) and (D). Metrics: sensitivity, specificity, PPV, NPV, AUROC, AUPRC, expected calibration error (ECE), grounding ratio, source-precision@1, NLI entailment score, unverifiable clinically-critical-claim rate per 100 responses, clinician-annotated clinically-critical hallucination rate, subgroup stratified results (age, sex, race/ethnicity, language). Experimental setup: cross-site validation, report 95% CIs via bootstrap. Ablation studies: remove RAG, remove NLI verification, replace LoRA with full fine-tuning, and compare DP epsilons. Required sample sizes: ensure pooled positive cases ≥362 to detect a 0.05 sensitivity change at alpha=0.05 and power=0.8; for subgroup analyses ensure minimum positives per subgroup (report power tables). Human evaluation: randomly sample model outputs stratified by risk level for clinician annotation of hallucinations (target inter-annotator agreement ≥0.7). Safety gates: measure whether suicidality sensitivity ≥0.95 and clinically-critical hallucination rate reduced ≥50% versus baseline.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residual hallucinations despite RAG, NLI false negatives or false positives, and retrieval failure when evidence is absent. Data and evaluation biases: annotated corpora may underrepresent marginalized groups, cultural expressions, or nonstandard language, causing subgroup performance gaps. Privacy and utility trade-offs: DP-SGD can reduce accuracy and increase subgroup disparities at low epsilon. Scalability: federated training and secure enclaves increase engineering complexity and latency; retrieval indexes require maintenance. Generalization limits: models trained on available datasets may not transfer to new clinical settings, languages, or modalities. Compute and cost limits: indexing, retrieval, and verification layers add inference cost; clinical deployment may need low-latency, secure resources. Legal and operational risks: automated alerts and escalation raise liability and jurisdictional mandatory-reporting issues. Measurement limits: clinician-annotated hallucination labels are subjective and require sustained QA. Reproducibility constraints: DUAs and licensed data restrict open release of full benchmarks; synthetic exemplars may not capture all failure modes.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